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hint="eastAsia" w:ascii="黑体" w:hAnsi="黑体" w:eastAsia="黑体" w:cs="黑体"/>
          <w:spacing w:val="20"/>
          <w:sz w:val="32"/>
        </w:rPr>
      </w:pPr>
    </w:p>
    <w:tbl>
      <w:tblPr>
        <w:tblStyle w:val="9"/>
        <w:tblW w:w="81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1" w:hRule="atLeast"/>
          <w:jc w:val="center"/>
        </w:trPr>
        <w:tc>
          <w:tcPr>
            <w:tcW w:w="8177" w:type="dxa"/>
            <w:vAlign w:val="center"/>
          </w:tcPr>
          <w:p>
            <w:pPr>
              <w:spacing w:line="360" w:lineRule="auto"/>
              <w:jc w:val="center"/>
              <w:rPr>
                <w:rFonts w:eastAsia="黑体"/>
                <w:spacing w:val="20"/>
                <w:sz w:val="32"/>
                <w:szCs w:val="32"/>
              </w:rPr>
            </w:pPr>
            <w:r>
              <w:rPr>
                <w:rFonts w:hint="eastAsia" w:eastAsia="黑体"/>
                <w:spacing w:val="20"/>
                <w:sz w:val="32"/>
              </w:rPr>
              <w:t>中国核学会团体</w:t>
            </w:r>
            <w:r>
              <w:rPr>
                <w:rFonts w:eastAsia="黑体"/>
                <w:spacing w:val="20"/>
                <w:sz w:val="32"/>
              </w:rPr>
              <w:t>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5" w:hRule="atLeast"/>
          <w:jc w:val="center"/>
        </w:trPr>
        <w:tc>
          <w:tcPr>
            <w:tcW w:w="8177" w:type="dxa"/>
            <w:vAlign w:val="center"/>
          </w:tcPr>
          <w:sdt>
            <w:sdtPr>
              <w:rPr>
                <w:rFonts w:hint="default" w:ascii="Times New Roman" w:hAnsi="Times New Roman" w:eastAsia="宋体" w:cs="Times New Roman"/>
                <w:b/>
                <w:bCs/>
                <w:color w:val="auto"/>
                <w:sz w:val="32"/>
                <w:szCs w:val="32"/>
                <w:lang w:val="en-US" w:eastAsia="zh-CN"/>
              </w:rPr>
              <w:tag w:val="NEW_STAND_NAME"/>
              <w:id w:val="595910757"/>
              <w:lock w:val="sdtLocked"/>
              <w:placeholder>
                <w:docPart w:val="{854858ba-f76e-479e-b9c6-c9efc2278b40}"/>
              </w:placeholder>
            </w:sdtPr>
            <w:sdtEndPr>
              <w:rPr>
                <w:rFonts w:hint="default" w:ascii="Times New Roman" w:hAnsi="Times New Roman" w:eastAsia="宋体" w:cs="Times New Roman"/>
                <w:b/>
                <w:bCs/>
                <w:color w:val="auto"/>
                <w:sz w:val="32"/>
                <w:szCs w:val="32"/>
                <w:lang w:val="en-US" w:eastAsia="zh-CN"/>
              </w:rPr>
            </w:sdtEndPr>
            <w:sdtContent>
              <w:p>
                <w:pPr>
                  <w:spacing w:line="720" w:lineRule="auto"/>
                  <w:jc w:val="center"/>
                  <w:rPr>
                    <w:rFonts w:hint="default" w:eastAsia="黑体" w:cs="黑体"/>
                    <w:spacing w:val="20"/>
                    <w:sz w:val="44"/>
                    <w:szCs w:val="44"/>
                    <w:lang w:val="en-US" w:eastAsia="zh-CN"/>
                  </w:rPr>
                </w:pPr>
                <w:r>
                  <w:rPr>
                    <w:rFonts w:hint="eastAsia" w:eastAsia="黑体" w:cs="黑体"/>
                    <w:spacing w:val="20"/>
                    <w:sz w:val="44"/>
                    <w:szCs w:val="44"/>
                    <w:lang w:val="en-US" w:eastAsia="zh-CN"/>
                  </w:rPr>
                  <w:t>地浸铀矿山终采区</w:t>
                </w:r>
                <w:r>
                  <w:rPr>
                    <w:rFonts w:hint="default" w:eastAsia="黑体" w:cs="黑体"/>
                    <w:spacing w:val="20"/>
                    <w:sz w:val="44"/>
                    <w:szCs w:val="44"/>
                    <w:lang w:val="en-US" w:eastAsia="zh-CN"/>
                  </w:rPr>
                  <w:t>地下水修复目标</w:t>
                </w:r>
              </w:p>
              <w:p>
                <w:pPr>
                  <w:spacing w:line="720" w:lineRule="auto"/>
                  <w:jc w:val="center"/>
                  <w:rPr>
                    <w:rFonts w:eastAsia="黑体" w:cs="黑体"/>
                    <w:spacing w:val="20"/>
                    <w:sz w:val="44"/>
                    <w:szCs w:val="44"/>
                  </w:rPr>
                </w:pPr>
                <w:r>
                  <w:rPr>
                    <w:rFonts w:hint="default" w:eastAsia="黑体" w:cs="黑体"/>
                    <w:spacing w:val="20"/>
                    <w:sz w:val="44"/>
                    <w:szCs w:val="44"/>
                    <w:lang w:val="en-US" w:eastAsia="zh-CN"/>
                  </w:rPr>
                  <w:t>确定</w:t>
                </w:r>
                <w:r>
                  <w:rPr>
                    <w:rFonts w:hint="eastAsia" w:eastAsia="黑体" w:cs="黑体"/>
                    <w:spacing w:val="20"/>
                    <w:sz w:val="44"/>
                    <w:szCs w:val="44"/>
                    <w:lang w:val="en-US" w:eastAsia="zh-CN"/>
                  </w:rPr>
                  <w:t>准则</w:t>
                </w:r>
              </w:p>
            </w:sdtContent>
          </w:sdt>
          <w:p>
            <w:pPr>
              <w:spacing w:line="720" w:lineRule="auto"/>
              <w:jc w:val="center"/>
              <w:rPr>
                <w:rFonts w:eastAsia="黑体"/>
                <w:spacing w:val="20"/>
                <w:sz w:val="44"/>
                <w:szCs w:val="44"/>
              </w:rPr>
            </w:pPr>
            <w:r>
              <w:rPr>
                <w:rFonts w:hint="eastAsia" w:eastAsia="黑体" w:cs="黑体"/>
                <w:spacing w:val="20"/>
                <w:sz w:val="44"/>
                <w:szCs w:val="44"/>
              </w:rPr>
              <w:t>（征求意见稿）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3" w:hRule="atLeast"/>
          <w:jc w:val="center"/>
        </w:trPr>
        <w:tc>
          <w:tcPr>
            <w:tcW w:w="8177" w:type="dxa"/>
            <w:vAlign w:val="center"/>
          </w:tcPr>
          <w:p>
            <w:pPr>
              <w:spacing w:line="360" w:lineRule="auto"/>
              <w:jc w:val="center"/>
              <w:rPr>
                <w:rFonts w:eastAsia="黑体"/>
                <w:spacing w:val="20"/>
                <w:sz w:val="44"/>
                <w:szCs w:val="44"/>
              </w:rPr>
            </w:pPr>
            <w:r>
              <w:rPr>
                <w:rFonts w:hint="eastAsia" w:eastAsia="黑体"/>
                <w:spacing w:val="20"/>
                <w:sz w:val="44"/>
                <w:szCs w:val="32"/>
              </w:rPr>
              <w:t>编制说明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5" w:hRule="atLeast"/>
          <w:jc w:val="center"/>
        </w:trPr>
        <w:tc>
          <w:tcPr>
            <w:tcW w:w="8177" w:type="dxa"/>
            <w:vAlign w:val="center"/>
          </w:tcPr>
          <w:p>
            <w:pPr>
              <w:spacing w:line="360" w:lineRule="auto"/>
              <w:jc w:val="center"/>
              <w:rPr>
                <w:rFonts w:eastAsia="黑体"/>
                <w:spacing w:val="20"/>
                <w:sz w:val="32"/>
              </w:rPr>
            </w:pPr>
            <w:r>
              <w:rPr>
                <w:rFonts w:hint="eastAsia" w:eastAsia="黑体"/>
                <w:spacing w:val="20"/>
                <w:sz w:val="32"/>
              </w:rPr>
              <w:t>标准起草工作组</w:t>
            </w:r>
          </w:p>
          <w:p>
            <w:pPr>
              <w:spacing w:line="360" w:lineRule="auto"/>
              <w:jc w:val="center"/>
              <w:rPr>
                <w:rFonts w:eastAsia="黑体"/>
                <w:sz w:val="28"/>
                <w:szCs w:val="28"/>
              </w:rPr>
            </w:pPr>
            <w:r>
              <w:rPr>
                <w:rFonts w:hint="default" w:ascii="Times New Roman" w:hAnsi="Times New Roman" w:eastAsia="黑体" w:cs="Times New Roman"/>
                <w:spacing w:val="20"/>
                <w:sz w:val="32"/>
              </w:rPr>
              <w:t>202</w:t>
            </w:r>
            <w:r>
              <w:rPr>
                <w:rFonts w:hint="default" w:ascii="Times New Roman" w:hAnsi="Times New Roman" w:eastAsia="黑体" w:cs="Times New Roman"/>
                <w:spacing w:val="20"/>
                <w:sz w:val="32"/>
                <w:lang w:val="en-US" w:eastAsia="zh-CN"/>
              </w:rPr>
              <w:t>6</w:t>
            </w:r>
            <w:r>
              <w:rPr>
                <w:rFonts w:hint="default" w:ascii="Times New Roman" w:hAnsi="Times New Roman" w:eastAsia="黑体" w:cs="Times New Roman"/>
                <w:spacing w:val="20"/>
                <w:sz w:val="32"/>
              </w:rPr>
              <w:t>年</w:t>
            </w:r>
            <w:r>
              <w:rPr>
                <w:rFonts w:hint="eastAsia" w:ascii="Times New Roman" w:hAnsi="Times New Roman" w:eastAsia="黑体" w:cs="Times New Roman"/>
                <w:spacing w:val="20"/>
                <w:sz w:val="32"/>
                <w:lang w:val="en-US" w:eastAsia="zh-CN"/>
              </w:rPr>
              <w:t>6</w:t>
            </w:r>
            <w:r>
              <w:rPr>
                <w:rFonts w:hint="default" w:ascii="Times New Roman" w:hAnsi="Times New Roman" w:eastAsia="黑体" w:cs="Times New Roman"/>
                <w:spacing w:val="20"/>
                <w:sz w:val="32"/>
              </w:rPr>
              <w:t>月</w:t>
            </w:r>
          </w:p>
        </w:tc>
      </w:tr>
    </w:tbl>
    <w:p>
      <w:pPr>
        <w:pageBreakBefore w:val="0"/>
        <w:widowControl/>
        <w:kinsoku/>
        <w:wordWrap/>
        <w:overflowPunct/>
        <w:topLinePunct w:val="0"/>
        <w:bidi w:val="0"/>
        <w:adjustRightInd w:val="0"/>
        <w:snapToGrid w:val="0"/>
        <w:spacing w:line="520" w:lineRule="exact"/>
        <w:jc w:val="center"/>
        <w:textAlignment w:val="auto"/>
        <w:rPr>
          <w:rFonts w:hint="default" w:ascii="Times New Roman" w:hAnsi="Times New Roman" w:eastAsia="宋体" w:cs="Times New Roman"/>
          <w:b/>
          <w:bCs/>
          <w:color w:val="auto"/>
          <w:sz w:val="28"/>
          <w:szCs w:val="28"/>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pPr>
        <w:pStyle w:val="2"/>
        <w:rPr>
          <w:rFonts w:hint="default"/>
          <w:lang w:val="en-US" w:eastAsia="zh-CN"/>
        </w:rPr>
      </w:pPr>
    </w:p>
    <w:p>
      <w:pPr>
        <w:pageBreakBefore w:val="0"/>
        <w:widowControl/>
        <w:kinsoku/>
        <w:wordWrap/>
        <w:overflowPunct/>
        <w:topLinePunct w:val="0"/>
        <w:bidi w:val="0"/>
        <w:adjustRightInd w:val="0"/>
        <w:snapToGrid w:val="0"/>
        <w:spacing w:line="520" w:lineRule="exact"/>
        <w:jc w:val="center"/>
        <w:textAlignment w:val="auto"/>
        <w:rPr>
          <w:rFonts w:hint="eastAsia" w:ascii="黑体" w:hAnsi="黑体" w:eastAsia="黑体" w:cs="黑体"/>
          <w:b w:val="0"/>
          <w:bCs w:val="0"/>
          <w:color w:val="auto"/>
          <w:sz w:val="32"/>
          <w:szCs w:val="32"/>
          <w:lang w:val="en-US" w:eastAsia="zh-CN"/>
        </w:rPr>
      </w:pPr>
      <w:sdt>
        <w:sdtPr>
          <w:rPr>
            <w:rFonts w:hint="eastAsia" w:ascii="黑体" w:hAnsi="黑体" w:eastAsia="黑体" w:cs="黑体"/>
            <w:b w:val="0"/>
            <w:bCs w:val="0"/>
            <w:color w:val="auto"/>
            <w:sz w:val="32"/>
            <w:szCs w:val="32"/>
            <w:lang w:val="en-US" w:eastAsia="zh-CN"/>
          </w:rPr>
          <w:tag w:val="NEW_STAND_NAME"/>
          <w:id w:val="595910757"/>
          <w:lock w:val="sdtLocked"/>
          <w:placeholder>
            <w:docPart w:val="{58f9a65d-279a-4418-87b9-7d23e4574437}"/>
          </w:placeholder>
        </w:sdtPr>
        <w:sdtEndPr>
          <w:rPr>
            <w:rFonts w:hint="eastAsia" w:ascii="黑体" w:hAnsi="黑体" w:eastAsia="黑体" w:cs="黑体"/>
            <w:b w:val="0"/>
            <w:bCs w:val="0"/>
            <w:color w:val="auto"/>
            <w:sz w:val="32"/>
            <w:szCs w:val="32"/>
            <w:lang w:val="en-US" w:eastAsia="zh-CN"/>
          </w:rPr>
        </w:sdtEndPr>
        <w:sdtContent>
          <w:bookmarkStart w:id="0" w:name="_Toc493606208"/>
          <w:r>
            <w:rPr>
              <w:rFonts w:hint="eastAsia" w:ascii="黑体" w:hAnsi="黑体" w:eastAsia="黑体" w:cs="黑体"/>
              <w:b w:val="0"/>
              <w:bCs w:val="0"/>
              <w:color w:val="auto"/>
              <w:sz w:val="32"/>
              <w:szCs w:val="32"/>
              <w:lang w:val="en-US" w:eastAsia="zh-CN"/>
            </w:rPr>
            <w:t>地浸铀矿山终采区地下水修复目标确定</w:t>
          </w:r>
          <w:bookmarkEnd w:id="0"/>
          <w:r>
            <w:rPr>
              <w:rFonts w:hint="eastAsia" w:ascii="黑体" w:hAnsi="黑体" w:eastAsia="黑体" w:cs="黑体"/>
              <w:b w:val="0"/>
              <w:bCs w:val="0"/>
              <w:color w:val="auto"/>
              <w:sz w:val="32"/>
              <w:szCs w:val="32"/>
              <w:lang w:val="en-US" w:eastAsia="zh-CN"/>
            </w:rPr>
            <w:t>准则</w:t>
          </w:r>
        </w:sdtContent>
      </w:sdt>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eastAsia="黑体"/>
          <w:sz w:val="28"/>
          <w:szCs w:val="28"/>
        </w:rPr>
      </w:pPr>
      <w:r>
        <w:rPr>
          <w:rFonts w:hint="eastAsia" w:eastAsia="黑体"/>
          <w:sz w:val="28"/>
          <w:szCs w:val="28"/>
        </w:rPr>
        <w:t>工作简况</w:t>
      </w:r>
    </w:p>
    <w:p>
      <w:pPr>
        <w:pStyle w:val="17"/>
        <w:keepNext w:val="0"/>
        <w:keepLines w:val="0"/>
        <w:pageBreakBefore w:val="0"/>
        <w:widowControl w:val="0"/>
        <w:numPr>
          <w:ilvl w:val="0"/>
          <w:numId w:val="3"/>
        </w:numPr>
        <w:kinsoku/>
        <w:wordWrap/>
        <w:overflowPunct/>
        <w:topLinePunct w:val="0"/>
        <w:autoSpaceDE/>
        <w:autoSpaceDN/>
        <w:bidi w:val="0"/>
        <w:adjustRightInd/>
        <w:snapToGrid/>
        <w:spacing w:before="240" w:after="240" w:line="360" w:lineRule="auto"/>
        <w:ind w:left="420" w:hanging="420" w:firstLineChars="0"/>
        <w:textAlignment w:val="auto"/>
        <w:outlineLvl w:val="1"/>
        <w:rPr>
          <w:rFonts w:ascii="黑体" w:hAnsi="黑体" w:eastAsia="黑体"/>
          <w:kern w:val="0"/>
          <w:sz w:val="24"/>
        </w:rPr>
      </w:pPr>
      <w:r>
        <w:rPr>
          <w:rFonts w:hint="eastAsia" w:ascii="黑体" w:hAnsi="黑体" w:eastAsia="黑体"/>
          <w:kern w:val="0"/>
          <w:sz w:val="24"/>
        </w:rPr>
        <w:t>任务</w:t>
      </w:r>
      <w:r>
        <w:rPr>
          <w:rFonts w:ascii="黑体" w:hAnsi="黑体" w:eastAsia="黑体"/>
          <w:kern w:val="0"/>
          <w:sz w:val="24"/>
        </w:rPr>
        <w:t>来源</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lang w:val="zh-CN"/>
        </w:rPr>
        <w:t>本标准制订任务由</w:t>
      </w:r>
      <w:r>
        <w:rPr>
          <w:rFonts w:hint="default" w:ascii="Times New Roman" w:hAnsi="Times New Roman" w:cs="Times New Roman"/>
          <w:sz w:val="24"/>
        </w:rPr>
        <w:t>中国核学会文件《关于下达</w:t>
      </w:r>
      <w:r>
        <w:rPr>
          <w:rFonts w:hint="default" w:ascii="Times New Roman" w:hAnsi="Times New Roman" w:cs="Times New Roman"/>
          <w:sz w:val="24"/>
          <w:lang w:val="en-US" w:eastAsia="zh-CN"/>
        </w:rPr>
        <w:t>2026</w:t>
      </w:r>
      <w:r>
        <w:rPr>
          <w:rFonts w:hint="default" w:ascii="Times New Roman" w:hAnsi="Times New Roman" w:cs="Times New Roman"/>
          <w:sz w:val="24"/>
        </w:rPr>
        <w:t>年度第</w:t>
      </w:r>
      <w:r>
        <w:rPr>
          <w:rFonts w:hint="default" w:ascii="Times New Roman" w:hAnsi="Times New Roman" w:cs="Times New Roman"/>
          <w:sz w:val="24"/>
          <w:lang w:val="en-US" w:eastAsia="zh-CN"/>
        </w:rPr>
        <w:t>二</w:t>
      </w:r>
      <w:r>
        <w:rPr>
          <w:rFonts w:hint="default" w:ascii="Times New Roman" w:hAnsi="Times New Roman" w:cs="Times New Roman"/>
          <w:sz w:val="24"/>
        </w:rPr>
        <w:t>批中国核学会团体标准</w:t>
      </w:r>
      <w:r>
        <w:rPr>
          <w:rFonts w:hint="default" w:ascii="Times New Roman" w:hAnsi="Times New Roman" w:cs="Times New Roman"/>
          <w:sz w:val="24"/>
          <w:lang w:val="en-US" w:eastAsia="zh-CN"/>
        </w:rPr>
        <w:t>立项</w:t>
      </w:r>
      <w:r>
        <w:rPr>
          <w:rFonts w:hint="default" w:ascii="Times New Roman" w:hAnsi="Times New Roman" w:cs="Times New Roman"/>
          <w:sz w:val="24"/>
        </w:rPr>
        <w:t>计划的通知》（中核学发〔20</w:t>
      </w:r>
      <w:r>
        <w:rPr>
          <w:rFonts w:hint="default" w:ascii="Times New Roman" w:hAnsi="Times New Roman" w:cs="Times New Roman"/>
          <w:sz w:val="24"/>
          <w:lang w:val="en-US" w:eastAsia="zh-CN"/>
        </w:rPr>
        <w:t>26</w:t>
      </w:r>
      <w:r>
        <w:rPr>
          <w:rFonts w:hint="default" w:ascii="Times New Roman" w:hAnsi="Times New Roman" w:cs="Times New Roman"/>
          <w:sz w:val="24"/>
        </w:rPr>
        <w:t>〕</w:t>
      </w:r>
      <w:r>
        <w:rPr>
          <w:rFonts w:hint="default" w:ascii="Times New Roman" w:hAnsi="Times New Roman" w:cs="Times New Roman"/>
          <w:sz w:val="24"/>
          <w:lang w:val="en-US" w:eastAsia="zh-CN"/>
        </w:rPr>
        <w:t>115</w:t>
      </w:r>
      <w:r>
        <w:rPr>
          <w:rFonts w:hint="default" w:ascii="Times New Roman" w:hAnsi="Times New Roman" w:cs="Times New Roman"/>
          <w:sz w:val="24"/>
        </w:rPr>
        <w:t>号）下达，计划编号为</w:t>
      </w:r>
      <w:r>
        <w:rPr>
          <w:rFonts w:hint="default" w:ascii="Times New Roman" w:hAnsi="Times New Roman" w:cs="Times New Roman"/>
          <w:sz w:val="24"/>
          <w:lang w:val="zh-CN"/>
        </w:rPr>
        <w:t>HTB202</w:t>
      </w:r>
      <w:r>
        <w:rPr>
          <w:rFonts w:hint="default" w:ascii="Times New Roman" w:hAnsi="Times New Roman" w:cs="Times New Roman"/>
          <w:sz w:val="24"/>
          <w:lang w:val="en-US" w:eastAsia="zh-CN"/>
        </w:rPr>
        <w:t>6085</w:t>
      </w:r>
      <w:r>
        <w:rPr>
          <w:rFonts w:hint="default" w:ascii="Times New Roman" w:hAnsi="Times New Roman" w:cs="Times New Roman"/>
          <w:sz w:val="24"/>
        </w:rPr>
        <w:t>，标准计划名称为《</w:t>
      </w:r>
      <w:sdt>
        <w:sdtPr>
          <w:rPr>
            <w:rFonts w:hint="default" w:ascii="Times New Roman" w:hAnsi="Times New Roman" w:cs="Times New Roman"/>
            <w:sz w:val="24"/>
            <w:lang w:val="en-US" w:eastAsia="zh-CN"/>
          </w:rPr>
          <w:tag w:val="NEW_STAND_NAME"/>
          <w:id w:val="595910757"/>
          <w:lock w:val="sdtLocked"/>
          <w:placeholder>
            <w:docPart w:val="{798efecd-1bed-40af-8e6a-a34434ea37eb}"/>
          </w:placeholder>
        </w:sdtPr>
        <w:sdtEndPr>
          <w:rPr>
            <w:rFonts w:hint="default" w:ascii="Times New Roman" w:hAnsi="Times New Roman" w:cs="Times New Roman"/>
            <w:sz w:val="24"/>
            <w:lang w:val="en-US" w:eastAsia="zh-CN"/>
          </w:rPr>
        </w:sdtEndPr>
        <w:sdtContent>
          <w:r>
            <w:rPr>
              <w:rFonts w:hint="default" w:ascii="Times New Roman" w:hAnsi="Times New Roman" w:cs="Times New Roman"/>
              <w:sz w:val="24"/>
              <w:lang w:val="en-US" w:eastAsia="zh-CN"/>
            </w:rPr>
            <w:t>地浸铀矿山终采区地下水修复目标确定准则</w:t>
          </w:r>
        </w:sdtContent>
      </w:sdt>
      <w:r>
        <w:rPr>
          <w:rFonts w:hint="default" w:ascii="Times New Roman" w:hAnsi="Times New Roman" w:cs="Times New Roman"/>
          <w:sz w:val="24"/>
        </w:rPr>
        <w:t>》</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暂定名</w:t>
      </w:r>
      <w:r>
        <w:rPr>
          <w:rFonts w:hint="eastAsia" w:ascii="Times New Roman" w:hAnsi="Times New Roman" w:cs="Times New Roman"/>
          <w:sz w:val="24"/>
          <w:lang w:eastAsia="zh-CN"/>
        </w:rPr>
        <w:t>）</w:t>
      </w:r>
      <w:r>
        <w:rPr>
          <w:rFonts w:hint="default" w:ascii="Times New Roman" w:hAnsi="Times New Roman" w:cs="Times New Roman"/>
          <w:sz w:val="24"/>
        </w:rPr>
        <w:t>，由</w:t>
      </w:r>
      <w:r>
        <w:rPr>
          <w:rFonts w:hint="default" w:ascii="Times New Roman" w:hAnsi="Times New Roman" w:cs="Times New Roman"/>
          <w:sz w:val="24"/>
          <w:lang w:val="en-US" w:eastAsia="zh-CN"/>
        </w:rPr>
        <w:t>中核第四研究设计工程有限公司</w:t>
      </w:r>
      <w:r>
        <w:rPr>
          <w:rFonts w:hint="eastAsia" w:ascii="Times New Roman" w:hAnsi="Times New Roman" w:cs="Times New Roman"/>
          <w:sz w:val="24"/>
          <w:lang w:val="en-US" w:eastAsia="zh-CN"/>
        </w:rPr>
        <w:t>牵头起草，</w:t>
      </w:r>
      <w:r>
        <w:rPr>
          <w:rFonts w:hint="default" w:ascii="Times New Roman" w:hAnsi="Times New Roman" w:cs="Times New Roman"/>
          <w:sz w:val="24"/>
        </w:rPr>
        <w:t>要求于202</w:t>
      </w:r>
      <w:r>
        <w:rPr>
          <w:rFonts w:hint="eastAsia" w:ascii="Times New Roman" w:hAnsi="Times New Roman" w:cs="Times New Roman"/>
          <w:sz w:val="24"/>
          <w:lang w:val="en-US" w:eastAsia="zh-CN"/>
        </w:rPr>
        <w:t>6</w:t>
      </w:r>
      <w:r>
        <w:rPr>
          <w:rFonts w:hint="default" w:ascii="Times New Roman" w:hAnsi="Times New Roman" w:cs="Times New Roman"/>
          <w:sz w:val="24"/>
        </w:rPr>
        <w:t>年</w:t>
      </w:r>
      <w:r>
        <w:rPr>
          <w:rFonts w:hint="eastAsia" w:ascii="Times New Roman" w:hAnsi="Times New Roman" w:cs="Times New Roman"/>
          <w:sz w:val="24"/>
          <w:lang w:val="en-US" w:eastAsia="zh-CN"/>
        </w:rPr>
        <w:t>12</w:t>
      </w:r>
      <w:r>
        <w:rPr>
          <w:rFonts w:hint="default" w:ascii="Times New Roman" w:hAnsi="Times New Roman" w:cs="Times New Roman"/>
          <w:sz w:val="24"/>
        </w:rPr>
        <w:t>月完成本项目。</w:t>
      </w:r>
    </w:p>
    <w:p>
      <w:pPr>
        <w:pStyle w:val="17"/>
        <w:keepNext w:val="0"/>
        <w:keepLines w:val="0"/>
        <w:pageBreakBefore w:val="0"/>
        <w:widowControl w:val="0"/>
        <w:numPr>
          <w:ilvl w:val="0"/>
          <w:numId w:val="3"/>
        </w:numPr>
        <w:kinsoku/>
        <w:wordWrap/>
        <w:overflowPunct/>
        <w:topLinePunct w:val="0"/>
        <w:autoSpaceDE/>
        <w:autoSpaceDN/>
        <w:bidi w:val="0"/>
        <w:adjustRightInd/>
        <w:snapToGrid/>
        <w:spacing w:before="240" w:after="240" w:line="360" w:lineRule="auto"/>
        <w:ind w:left="420" w:hanging="420" w:firstLineChars="0"/>
        <w:textAlignment w:val="auto"/>
        <w:outlineLvl w:val="1"/>
        <w:rPr>
          <w:rFonts w:hint="eastAsia" w:ascii="黑体" w:hAnsi="黑体" w:eastAsia="黑体"/>
          <w:kern w:val="0"/>
          <w:sz w:val="24"/>
        </w:rPr>
      </w:pPr>
      <w:r>
        <w:rPr>
          <w:rFonts w:hint="eastAsia" w:ascii="黑体" w:hAnsi="黑体" w:eastAsia="黑体"/>
          <w:kern w:val="0"/>
          <w:sz w:val="24"/>
        </w:rPr>
        <w:t>起草单位情况</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cs="Times New Roman"/>
          <w:sz w:val="24"/>
          <w:lang w:eastAsia="zh-CN"/>
        </w:rPr>
      </w:pPr>
      <w:r>
        <w:rPr>
          <w:rFonts w:hint="eastAsia" w:ascii="Times New Roman" w:cs="Times New Roman"/>
          <w:sz w:val="24"/>
          <w:lang w:val="en-US" w:eastAsia="zh-CN"/>
        </w:rPr>
        <w:t>本标准</w:t>
      </w:r>
      <w:r>
        <w:rPr>
          <w:rFonts w:hint="default" w:ascii="Times New Roman" w:hAnsi="Times New Roman" w:cs="Times New Roman"/>
          <w:sz w:val="24"/>
        </w:rPr>
        <w:t>由</w:t>
      </w:r>
      <w:r>
        <w:rPr>
          <w:rFonts w:hint="default" w:ascii="Times New Roman" w:hAnsi="Times New Roman" w:cs="Times New Roman"/>
          <w:sz w:val="24"/>
          <w:lang w:val="en-US" w:eastAsia="zh-CN"/>
        </w:rPr>
        <w:t>中核第四研究设计工程有限公司（</w:t>
      </w:r>
      <w:r>
        <w:rPr>
          <w:rFonts w:hint="eastAsia" w:ascii="Times New Roman" w:hAnsi="Times New Roman" w:cs="Times New Roman"/>
          <w:sz w:val="24"/>
          <w:lang w:val="en-US" w:eastAsia="zh-CN"/>
        </w:rPr>
        <w:t>中核四院</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牵头起草，</w:t>
      </w:r>
      <w:r>
        <w:rPr>
          <w:rFonts w:hint="default" w:ascii="Times New Roman" w:hAnsi="Times New Roman" w:cs="Times New Roman"/>
          <w:sz w:val="24"/>
          <w:lang w:val="en-US" w:eastAsia="zh-CN"/>
        </w:rPr>
        <w:t>核工业北京化工冶金研究院</w:t>
      </w:r>
      <w:r>
        <w:rPr>
          <w:rFonts w:hint="eastAsia" w:ascii="Times New Roman" w:cs="Times New Roman"/>
          <w:sz w:val="24"/>
          <w:lang w:val="en-US" w:eastAsia="zh-CN"/>
        </w:rPr>
        <w:t>（核化冶院）</w:t>
      </w:r>
      <w:r>
        <w:rPr>
          <w:rFonts w:hint="default" w:ascii="Times New Roman" w:hAnsi="Times New Roman" w:cs="Times New Roman"/>
          <w:sz w:val="24"/>
          <w:lang w:val="en-US" w:eastAsia="zh-CN"/>
        </w:rPr>
        <w:t>、生态环境部核与辐射安全中心</w:t>
      </w:r>
      <w:r>
        <w:rPr>
          <w:rFonts w:hint="eastAsia" w:ascii="Times New Roman" w:cs="Times New Roman"/>
          <w:sz w:val="24"/>
          <w:lang w:val="en-US" w:eastAsia="zh-CN"/>
        </w:rPr>
        <w:t>（</w:t>
      </w:r>
      <w:r>
        <w:rPr>
          <w:rFonts w:hint="default" w:ascii="Times New Roman" w:hAnsi="Times New Roman" w:cs="Times New Roman"/>
          <w:sz w:val="24"/>
          <w:lang w:val="en-US" w:eastAsia="zh-CN"/>
        </w:rPr>
        <w:t>核安全中心</w:t>
      </w:r>
      <w:r>
        <w:rPr>
          <w:rFonts w:hint="eastAsia" w:ascii="Times New Roman" w:cs="Times New Roman"/>
          <w:sz w:val="24"/>
          <w:lang w:val="en-US" w:eastAsia="zh-CN"/>
        </w:rPr>
        <w:t>）</w:t>
      </w:r>
      <w:r>
        <w:rPr>
          <w:rFonts w:hint="default" w:ascii="Times New Roman" w:hAnsi="Times New Roman" w:cs="Times New Roman"/>
          <w:sz w:val="24"/>
          <w:lang w:val="en-US" w:eastAsia="zh-CN"/>
        </w:rPr>
        <w:t>、中核铀业有限责任公司</w:t>
      </w:r>
      <w:r>
        <w:rPr>
          <w:rFonts w:hint="eastAsia" w:ascii="Times New Roman" w:cs="Times New Roman"/>
          <w:sz w:val="24"/>
          <w:lang w:val="en-US" w:eastAsia="zh-CN"/>
        </w:rPr>
        <w:t>（</w:t>
      </w:r>
      <w:r>
        <w:rPr>
          <w:rFonts w:hint="default" w:ascii="Times New Roman" w:hAnsi="Times New Roman" w:cs="Times New Roman"/>
          <w:sz w:val="24"/>
          <w:lang w:val="en-US" w:eastAsia="zh-CN"/>
        </w:rPr>
        <w:t>中核铀业</w:t>
      </w:r>
      <w:r>
        <w:rPr>
          <w:rFonts w:hint="eastAsia" w:ascii="Times New Roman" w:cs="Times New Roman"/>
          <w:sz w:val="24"/>
          <w:lang w:val="en-US" w:eastAsia="zh-CN"/>
        </w:rPr>
        <w:t>）</w:t>
      </w:r>
      <w:r>
        <w:rPr>
          <w:rFonts w:hint="default" w:ascii="Times New Roman" w:hAnsi="Times New Roman" w:cs="Times New Roman"/>
          <w:sz w:val="24"/>
          <w:lang w:val="en-US" w:eastAsia="zh-CN"/>
        </w:rPr>
        <w:t>、生态环境部华北核与辐射安全监督站</w:t>
      </w:r>
      <w:r>
        <w:rPr>
          <w:rFonts w:hint="eastAsia" w:ascii="Times New Roman" w:cs="Times New Roman"/>
          <w:sz w:val="24"/>
          <w:lang w:val="en-US" w:eastAsia="zh-CN"/>
        </w:rPr>
        <w:t>（华北站）</w:t>
      </w:r>
      <w:r>
        <w:rPr>
          <w:rFonts w:hint="default" w:ascii="Times New Roman" w:hAnsi="Times New Roman" w:cs="Times New Roman"/>
          <w:sz w:val="24"/>
          <w:lang w:val="en-US" w:eastAsia="zh-CN"/>
        </w:rPr>
        <w:t>、生态环境部西北核与辐射安全监督站</w:t>
      </w:r>
      <w:r>
        <w:rPr>
          <w:rFonts w:hint="eastAsia" w:ascii="Times New Roman" w:cs="Times New Roman"/>
          <w:sz w:val="24"/>
          <w:lang w:val="en-US" w:eastAsia="zh-CN"/>
        </w:rPr>
        <w:t>（西北站）</w:t>
      </w:r>
      <w:r>
        <w:rPr>
          <w:rFonts w:hint="default" w:ascii="Times New Roman" w:hAnsi="Times New Roman" w:cs="Times New Roman"/>
          <w:sz w:val="24"/>
          <w:lang w:val="en-US" w:eastAsia="zh-CN"/>
        </w:rPr>
        <w:t>、新疆维吾尔自治区核与辐射安全中心</w:t>
      </w:r>
      <w:r>
        <w:rPr>
          <w:rFonts w:hint="eastAsia" w:ascii="Times New Roman" w:cs="Times New Roman"/>
          <w:sz w:val="24"/>
          <w:lang w:val="en-US" w:eastAsia="zh-CN"/>
        </w:rPr>
        <w:t>（新疆</w:t>
      </w:r>
      <w:r>
        <w:rPr>
          <w:rFonts w:hint="default" w:ascii="Times New Roman" w:hAnsi="Times New Roman" w:cs="Times New Roman"/>
          <w:sz w:val="24"/>
          <w:lang w:val="en-US" w:eastAsia="zh-CN"/>
        </w:rPr>
        <w:t>核与辐射中心</w:t>
      </w:r>
      <w:r>
        <w:rPr>
          <w:rFonts w:hint="eastAsia" w:ascii="Times New Roman" w:cs="Times New Roman"/>
          <w:sz w:val="24"/>
          <w:lang w:val="en-US" w:eastAsia="zh-CN"/>
        </w:rPr>
        <w:t>）</w:t>
      </w:r>
      <w:r>
        <w:rPr>
          <w:rFonts w:hint="default" w:ascii="Times New Roman" w:hAnsi="Times New Roman" w:cs="Times New Roman"/>
          <w:sz w:val="24"/>
          <w:lang w:val="en-US" w:eastAsia="zh-CN"/>
        </w:rPr>
        <w:t>、内蒙古自治区核与辐射监测中心</w:t>
      </w:r>
      <w:r>
        <w:rPr>
          <w:rFonts w:hint="eastAsia" w:ascii="Times New Roman" w:cs="Times New Roman"/>
          <w:sz w:val="24"/>
          <w:lang w:val="en-US" w:eastAsia="zh-CN"/>
        </w:rPr>
        <w:t>（内蒙古</w:t>
      </w:r>
      <w:r>
        <w:rPr>
          <w:rFonts w:hint="default" w:ascii="Times New Roman" w:hAnsi="Times New Roman" w:cs="Times New Roman"/>
          <w:sz w:val="24"/>
          <w:lang w:val="en-US" w:eastAsia="zh-CN"/>
        </w:rPr>
        <w:t>核与辐射中心</w:t>
      </w:r>
      <w:r>
        <w:rPr>
          <w:rFonts w:hint="eastAsia" w:ascii="Times New Roman" w:cs="Times New Roman"/>
          <w:sz w:val="24"/>
          <w:lang w:val="en-US" w:eastAsia="zh-CN"/>
        </w:rPr>
        <w:t>）</w:t>
      </w:r>
      <w:r>
        <w:rPr>
          <w:rFonts w:hint="default" w:ascii="Times New Roman" w:hAnsi="Times New Roman" w:cs="Times New Roman"/>
          <w:sz w:val="24"/>
          <w:lang w:val="en-US" w:eastAsia="zh-CN"/>
        </w:rPr>
        <w:t>、中核新疆矿业有限公司</w:t>
      </w:r>
      <w:r>
        <w:rPr>
          <w:rFonts w:hint="eastAsia" w:ascii="Times New Roman" w:cs="Times New Roman"/>
          <w:sz w:val="24"/>
          <w:lang w:val="en-US" w:eastAsia="zh-CN"/>
        </w:rPr>
        <w:t>（</w:t>
      </w:r>
      <w:r>
        <w:rPr>
          <w:rFonts w:hint="default" w:ascii="Times New Roman" w:hAnsi="Times New Roman" w:cs="Times New Roman"/>
          <w:sz w:val="24"/>
          <w:lang w:val="en-US" w:eastAsia="zh-CN"/>
        </w:rPr>
        <w:t>中核新疆矿业</w:t>
      </w:r>
      <w:r>
        <w:rPr>
          <w:rFonts w:hint="eastAsia" w:ascii="Times New Roman" w:cs="Times New Roman"/>
          <w:sz w:val="24"/>
          <w:lang w:val="en-US" w:eastAsia="zh-CN"/>
        </w:rPr>
        <w:t>）</w:t>
      </w:r>
      <w:r>
        <w:rPr>
          <w:rFonts w:hint="default" w:ascii="Times New Roman" w:hAnsi="Times New Roman" w:cs="Times New Roman"/>
          <w:sz w:val="24"/>
          <w:lang w:val="en-US" w:eastAsia="zh-CN"/>
        </w:rPr>
        <w:t>、中核内蒙古矿业有限公司</w:t>
      </w:r>
      <w:r>
        <w:rPr>
          <w:rFonts w:hint="eastAsia" w:ascii="Times New Roman" w:cs="Times New Roman"/>
          <w:sz w:val="24"/>
          <w:lang w:val="en-US" w:eastAsia="zh-CN"/>
        </w:rPr>
        <w:t>（</w:t>
      </w:r>
      <w:r>
        <w:rPr>
          <w:rFonts w:hint="default" w:ascii="Times New Roman" w:hAnsi="Times New Roman" w:cs="Times New Roman"/>
          <w:sz w:val="24"/>
          <w:lang w:val="en-US" w:eastAsia="zh-CN"/>
        </w:rPr>
        <w:t>中核内蒙古矿业</w:t>
      </w:r>
      <w:r>
        <w:rPr>
          <w:rFonts w:hint="eastAsia" w:ascii="Times New Roman" w:cs="Times New Roman"/>
          <w:sz w:val="24"/>
          <w:lang w:val="en-US" w:eastAsia="zh-CN"/>
        </w:rPr>
        <w:t>）</w:t>
      </w:r>
      <w:r>
        <w:rPr>
          <w:rFonts w:hint="default" w:ascii="Times New Roman" w:hAnsi="Times New Roman" w:cs="Times New Roman"/>
          <w:sz w:val="24"/>
          <w:lang w:val="en-US" w:eastAsia="zh-CN"/>
        </w:rPr>
        <w:t>、中核通辽铀业有限责任公司</w:t>
      </w:r>
      <w:r>
        <w:rPr>
          <w:rFonts w:hint="eastAsia" w:ascii="Times New Roman" w:cs="Times New Roman"/>
          <w:sz w:val="24"/>
          <w:lang w:val="en-US" w:eastAsia="zh-CN"/>
        </w:rPr>
        <w:t>（</w:t>
      </w:r>
      <w:r>
        <w:rPr>
          <w:rFonts w:hint="default" w:ascii="Times New Roman" w:hAnsi="Times New Roman" w:cs="Times New Roman"/>
          <w:sz w:val="24"/>
          <w:lang w:val="en-US" w:eastAsia="zh-CN"/>
        </w:rPr>
        <w:t>中核通辽铀业</w:t>
      </w:r>
      <w:r>
        <w:rPr>
          <w:rFonts w:hint="eastAsia" w:ascii="Times New Roman" w:cs="Times New Roman"/>
          <w:sz w:val="24"/>
          <w:lang w:val="en-US" w:eastAsia="zh-CN"/>
        </w:rPr>
        <w:t>）</w:t>
      </w:r>
      <w:r>
        <w:rPr>
          <w:rFonts w:hint="default" w:ascii="Times New Roman" w:hAnsi="Times New Roman" w:cs="Times New Roman"/>
          <w:sz w:val="24"/>
          <w:lang w:val="en-US" w:eastAsia="zh-CN"/>
        </w:rPr>
        <w:t>、中核矿业科技集团有限公司</w:t>
      </w:r>
      <w:r>
        <w:rPr>
          <w:rFonts w:hint="eastAsia" w:ascii="Times New Roman" w:cs="Times New Roman"/>
          <w:sz w:val="24"/>
          <w:lang w:val="en-US" w:eastAsia="zh-CN"/>
        </w:rPr>
        <w:t>（</w:t>
      </w:r>
      <w:r>
        <w:rPr>
          <w:rFonts w:hint="default" w:ascii="Times New Roman" w:hAnsi="Times New Roman" w:cs="Times New Roman"/>
          <w:sz w:val="24"/>
          <w:lang w:val="en-US" w:eastAsia="zh-CN"/>
        </w:rPr>
        <w:t>中核矿业科技</w:t>
      </w:r>
      <w:r>
        <w:rPr>
          <w:rFonts w:hint="eastAsia" w:ascii="Times New Roman" w:cs="Times New Roman"/>
          <w:sz w:val="24"/>
          <w:lang w:val="en-US" w:eastAsia="zh-CN"/>
        </w:rPr>
        <w:t>）</w:t>
      </w:r>
      <w:r>
        <w:rPr>
          <w:rFonts w:hint="eastAsia" w:ascii="Times New Roman" w:hAnsi="Times New Roman" w:cs="Times New Roman"/>
          <w:sz w:val="24"/>
          <w:lang w:val="en-US" w:eastAsia="zh-CN"/>
        </w:rPr>
        <w:t>参与</w:t>
      </w:r>
      <w:r>
        <w:rPr>
          <w:rFonts w:hint="default" w:ascii="Times New Roman" w:hAnsi="Times New Roman" w:cs="Times New Roman"/>
          <w:sz w:val="24"/>
        </w:rPr>
        <w:t>起草</w:t>
      </w:r>
      <w:r>
        <w:rPr>
          <w:rFonts w:hint="eastAsia" w:ascii="Times New Roman" w:cs="Times New Roman"/>
          <w:sz w:val="24"/>
          <w:lang w:eastAsia="zh-CN"/>
        </w:rPr>
        <w:t>。</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中核四院是新中国组建的第一个也是全国最大的铀矿冶设计院，当前业务涵盖基础科学研究及研产一体化、全过程工程咨询设计及总承包服务、产业孵化及建设运营。中核四院</w:t>
      </w:r>
      <w:r>
        <w:rPr>
          <w:rFonts w:hint="default" w:ascii="Times New Roman" w:hAnsi="Times New Roman" w:cs="Times New Roman"/>
          <w:sz w:val="24"/>
          <w:lang w:val="en-US" w:eastAsia="zh-CN"/>
        </w:rPr>
        <w:t>承担了我国铀矿冶和伴生放射性矿开发</w:t>
      </w:r>
      <w:r>
        <w:rPr>
          <w:rFonts w:hint="eastAsia" w:ascii="Times New Roman" w:hAnsi="Times New Roman" w:cs="Times New Roman"/>
          <w:sz w:val="24"/>
          <w:lang w:val="en-US" w:eastAsia="zh-CN"/>
        </w:rPr>
        <w:t>利用</w:t>
      </w:r>
      <w:r>
        <w:rPr>
          <w:rFonts w:hint="default" w:ascii="Times New Roman" w:hAnsi="Times New Roman" w:cs="Times New Roman"/>
          <w:sz w:val="24"/>
          <w:lang w:val="en-US" w:eastAsia="zh-CN"/>
        </w:rPr>
        <w:t>行业</w:t>
      </w:r>
      <w:r>
        <w:rPr>
          <w:rFonts w:hint="eastAsia" w:ascii="Times New Roman" w:hAnsi="Times New Roman" w:cs="Times New Roman"/>
          <w:sz w:val="24"/>
          <w:lang w:val="en-US" w:eastAsia="zh-CN"/>
        </w:rPr>
        <w:t>绝大部分</w:t>
      </w:r>
      <w:r>
        <w:rPr>
          <w:rFonts w:hint="default" w:ascii="Times New Roman" w:hAnsi="Times New Roman" w:cs="Times New Roman"/>
          <w:sz w:val="24"/>
          <w:lang w:val="en-US" w:eastAsia="zh-CN"/>
        </w:rPr>
        <w:t>的咨询、环评、环保设计和退役治理任务，</w:t>
      </w:r>
      <w:r>
        <w:rPr>
          <w:rFonts w:hint="eastAsia" w:ascii="Times New Roman" w:hAnsi="Times New Roman" w:cs="Times New Roman"/>
          <w:sz w:val="24"/>
          <w:lang w:val="en-US" w:eastAsia="zh-CN"/>
        </w:rPr>
        <w:t>开展了多项科研攻关工作，</w:t>
      </w:r>
      <w:r>
        <w:rPr>
          <w:rFonts w:hint="default" w:ascii="Times New Roman" w:hAnsi="Times New Roman" w:cs="Times New Roman"/>
          <w:sz w:val="24"/>
          <w:lang w:val="en-US" w:eastAsia="zh-CN"/>
        </w:rPr>
        <w:t>是</w:t>
      </w:r>
      <w:r>
        <w:rPr>
          <w:rFonts w:hint="eastAsia" w:ascii="Times New Roman" w:hAnsi="Times New Roman" w:cs="Times New Roman"/>
          <w:sz w:val="24"/>
          <w:lang w:val="en-US" w:eastAsia="zh-CN"/>
        </w:rPr>
        <w:t>天然</w:t>
      </w:r>
      <w:r>
        <w:rPr>
          <w:rFonts w:hint="default" w:ascii="Times New Roman" w:hAnsi="Times New Roman" w:cs="Times New Roman"/>
          <w:sz w:val="24"/>
          <w:lang w:val="en-US" w:eastAsia="zh-CN"/>
        </w:rPr>
        <w:t>放射性污染修复技术</w:t>
      </w:r>
      <w:r>
        <w:rPr>
          <w:rFonts w:hint="eastAsia" w:ascii="Times New Roman" w:hAnsi="Times New Roman" w:cs="Times New Roman"/>
          <w:sz w:val="24"/>
          <w:lang w:val="en-US" w:eastAsia="zh-CN"/>
        </w:rPr>
        <w:t>主要的</w:t>
      </w:r>
      <w:r>
        <w:rPr>
          <w:rFonts w:hint="default" w:ascii="Times New Roman" w:hAnsi="Times New Roman" w:cs="Times New Roman"/>
          <w:sz w:val="24"/>
          <w:lang w:val="en-US" w:eastAsia="zh-CN"/>
        </w:rPr>
        <w:t>成果直接转化单位。</w:t>
      </w:r>
      <w:r>
        <w:rPr>
          <w:rFonts w:hint="eastAsia" w:ascii="Times New Roman" w:hAnsi="Times New Roman" w:cs="Times New Roman"/>
          <w:sz w:val="24"/>
          <w:lang w:val="en-US" w:eastAsia="zh-CN"/>
        </w:rPr>
        <w:t>中核四院作为生态环境部技术支持服务单位，近年来，持续承担了20余项核监管及相关科研项目；圆满完成生态环境部牵头的第二次全国污染源普查伴生放射性矿普查技术支持工作；牵头及参与多项铀矿冶、伴生放射性矿、放射性废物、核技术利用等领域的国家法规标准制修订；参加多项生态环境部组织的以上领域辐射环境安全综合检查、调研及项目专家论证等工作，为相关领域辐射环境安全监管提供了多方位的技术支持。</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pPr>
      <w:r>
        <w:rPr>
          <w:rFonts w:hint="eastAsia" w:ascii="Times New Roman" w:hAnsi="Times New Roman" w:cs="Times New Roman"/>
          <w:sz w:val="24"/>
          <w:lang w:val="en-US" w:eastAsia="zh-CN"/>
        </w:rPr>
        <w:t>中核四院</w:t>
      </w:r>
      <w:r>
        <w:rPr>
          <w:rFonts w:hint="default" w:ascii="Times New Roman" w:hAnsi="Times New Roman" w:cs="Times New Roman"/>
          <w:sz w:val="24"/>
          <w:lang w:val="en-US" w:eastAsia="zh-CN"/>
        </w:rPr>
        <w:t>拥有河北省放射性矿产资源绿色开发技术重点实验室</w:t>
      </w:r>
      <w:r>
        <w:rPr>
          <w:rFonts w:hint="eastAsia" w:ascii="Times New Roman" w:hAnsi="Times New Roman" w:cs="Times New Roman"/>
          <w:sz w:val="24"/>
          <w:lang w:val="en-US" w:eastAsia="zh-CN"/>
        </w:rPr>
        <w:t>、河北省核安保技术创新中心</w:t>
      </w:r>
      <w:r>
        <w:rPr>
          <w:rFonts w:hint="default" w:ascii="Times New Roman" w:hAnsi="Times New Roman" w:cs="Times New Roman"/>
          <w:sz w:val="24"/>
          <w:lang w:val="en-US" w:eastAsia="zh-CN"/>
        </w:rPr>
        <w:t>、核工业尾矿坝工程安全技术监督站、中核地矿环境工程技术中心、全国铀资源技术经济评价中心、铀尾矿（渣）库安全技术中心、数字矿山技术研发中心、稀土工业放射性污染控制中心等行业重点实验室或平台；拥有铀矿冶、核工程、核技术、核设施退役及三废治理相关的各类资质44项，其中甲级资质28项</w:t>
      </w:r>
      <w:r>
        <w:rPr>
          <w:rFonts w:hint="eastAsia" w:ascii="Times New Roman" w:hAnsi="Times New Roman" w:cs="Times New Roman"/>
          <w:sz w:val="24"/>
          <w:lang w:val="en-US" w:eastAsia="zh-CN"/>
        </w:rPr>
        <w:t>；获得多项咨询设计奖励和科技成果奖励</w:t>
      </w:r>
      <w:r>
        <w:rPr>
          <w:rFonts w:hint="default" w:ascii="Times New Roman" w:hAnsi="Times New Roman" w:cs="Times New Roman"/>
          <w:sz w:val="24"/>
          <w:lang w:val="en-US" w:eastAsia="zh-CN"/>
        </w:rPr>
        <w:t>。</w:t>
      </w:r>
    </w:p>
    <w:p>
      <w:pPr>
        <w:pStyle w:val="17"/>
        <w:keepNext w:val="0"/>
        <w:keepLines w:val="0"/>
        <w:pageBreakBefore w:val="0"/>
        <w:widowControl w:val="0"/>
        <w:numPr>
          <w:ilvl w:val="0"/>
          <w:numId w:val="3"/>
        </w:numPr>
        <w:kinsoku/>
        <w:wordWrap/>
        <w:overflowPunct/>
        <w:topLinePunct w:val="0"/>
        <w:autoSpaceDE/>
        <w:autoSpaceDN/>
        <w:bidi w:val="0"/>
        <w:adjustRightInd/>
        <w:snapToGrid/>
        <w:spacing w:before="240" w:after="240" w:line="360" w:lineRule="auto"/>
        <w:ind w:left="420" w:hanging="420" w:firstLineChars="0"/>
        <w:textAlignment w:val="auto"/>
        <w:outlineLvl w:val="1"/>
        <w:rPr>
          <w:rFonts w:hint="eastAsia" w:ascii="黑体" w:hAnsi="黑体" w:eastAsia="黑体"/>
          <w:kern w:val="0"/>
          <w:sz w:val="24"/>
        </w:rPr>
      </w:pPr>
      <w:r>
        <w:rPr>
          <w:rFonts w:hint="eastAsia" w:ascii="黑体" w:hAnsi="黑体" w:eastAsia="黑体"/>
          <w:kern w:val="0"/>
          <w:sz w:val="24"/>
        </w:rPr>
        <w:t>起草工作组组成及任务分工</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工作组由起草单位相关技术管理人员组成，包括刘晓超、苏学斌、李梦姣、柏学凯、安毅夫、连国玺、江国平、闻振乾、曹凤波、朱全政、冀东、孟童、吴尚文、李存增、葛佳亮、廖运璇、杨新利、金显玺、格丽玛、隋文利、胡龙飞、吴黎武、陈箭光、胥建军、闫纪帆、孙希龙、姜岩等</w:t>
      </w:r>
      <w:r>
        <w:rPr>
          <w:rFonts w:hint="default" w:ascii="Times New Roman" w:hAnsi="Times New Roman" w:cs="Times New Roman"/>
          <w:sz w:val="24"/>
          <w:lang w:val="en-US" w:eastAsia="zh-CN"/>
        </w:rPr>
        <w:t>。</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苏学斌院士负责标准</w:t>
      </w:r>
      <w:r>
        <w:rPr>
          <w:rFonts w:hint="default" w:ascii="Times New Roman" w:hAnsi="Times New Roman" w:cs="Times New Roman"/>
          <w:sz w:val="24"/>
          <w:lang w:val="en-US" w:eastAsia="zh-CN"/>
        </w:rPr>
        <w:t>的顶层设计、统筹指导</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中核</w:t>
      </w:r>
      <w:r>
        <w:rPr>
          <w:rFonts w:hint="eastAsia" w:ascii="Times New Roman" w:hAnsi="Times New Roman" w:cs="Times New Roman"/>
          <w:sz w:val="24"/>
          <w:lang w:val="en-US" w:eastAsia="zh-CN"/>
        </w:rPr>
        <w:t>四院刘晓超</w:t>
      </w:r>
      <w:r>
        <w:rPr>
          <w:rFonts w:hint="default" w:ascii="Times New Roman" w:hAnsi="Times New Roman" w:cs="Times New Roman"/>
          <w:sz w:val="24"/>
          <w:lang w:val="zh-CN" w:eastAsia="zh-CN"/>
        </w:rPr>
        <w:t>全面负责</w:t>
      </w:r>
      <w:r>
        <w:rPr>
          <w:rFonts w:hint="eastAsia" w:ascii="Times New Roman" w:hAnsi="Times New Roman" w:cs="Times New Roman"/>
          <w:sz w:val="24"/>
          <w:lang w:val="en-US" w:eastAsia="zh-CN"/>
        </w:rPr>
        <w:t>标准起草工作，单位其他同志全面参与标准起草工作；</w:t>
      </w:r>
      <w:r>
        <w:rPr>
          <w:rFonts w:hint="default" w:ascii="Times New Roman" w:hAnsi="Times New Roman" w:cs="Times New Roman"/>
          <w:sz w:val="24"/>
          <w:lang w:val="en-US" w:eastAsia="zh-CN"/>
        </w:rPr>
        <w:t>核化冶院、核安全中心、中核铀业、华北站、西北站、新疆核与辐射中心、内蒙古核与辐射中心、中核新疆矿业、中核内蒙古矿业、中核通辽铀业、中核矿业科技</w:t>
      </w:r>
      <w:r>
        <w:rPr>
          <w:rFonts w:hint="eastAsia" w:ascii="Times New Roman" w:hAnsi="Times New Roman" w:cs="Times New Roman"/>
          <w:sz w:val="24"/>
          <w:lang w:val="en-US" w:eastAsia="zh-CN"/>
        </w:rPr>
        <w:t>各位同志全面参与</w:t>
      </w:r>
      <w:bookmarkStart w:id="1" w:name="_Hlk174523308"/>
      <w:r>
        <w:rPr>
          <w:rFonts w:hint="eastAsia" w:ascii="Times New Roman" w:hAnsi="Times New Roman" w:cs="Times New Roman"/>
          <w:sz w:val="24"/>
          <w:lang w:val="en-US" w:eastAsia="zh-CN"/>
        </w:rPr>
        <w:t>标准内容</w:t>
      </w:r>
      <w:r>
        <w:rPr>
          <w:rFonts w:hint="eastAsia" w:ascii="Times New Roman" w:hAnsi="Times New Roman" w:cs="Times New Roman"/>
          <w:sz w:val="24"/>
          <w:lang w:val="zh-CN" w:eastAsia="zh-CN"/>
        </w:rPr>
        <w:t>讨论</w:t>
      </w:r>
      <w:bookmarkEnd w:id="1"/>
      <w:r>
        <w:rPr>
          <w:rFonts w:hint="eastAsia" w:ascii="Times New Roman" w:hAnsi="Times New Roman" w:cs="Times New Roman"/>
          <w:sz w:val="24"/>
          <w:lang w:val="zh-CN" w:eastAsia="zh-CN"/>
        </w:rPr>
        <w:t>并</w:t>
      </w:r>
      <w:r>
        <w:rPr>
          <w:rFonts w:hint="default" w:ascii="Times New Roman" w:hAnsi="Times New Roman" w:cs="Times New Roman"/>
          <w:sz w:val="24"/>
          <w:lang w:val="zh-CN" w:eastAsia="zh-CN"/>
        </w:rPr>
        <w:t>提出修改意见</w:t>
      </w:r>
      <w:r>
        <w:rPr>
          <w:rFonts w:hint="eastAsia" w:ascii="Times New Roman" w:hAnsi="Times New Roman" w:cs="Times New Roman"/>
          <w:sz w:val="24"/>
          <w:lang w:val="zh-CN" w:eastAsia="zh-CN"/>
        </w:rPr>
        <w:t>。</w:t>
      </w:r>
    </w:p>
    <w:p>
      <w:pPr>
        <w:pStyle w:val="17"/>
        <w:keepNext w:val="0"/>
        <w:keepLines w:val="0"/>
        <w:pageBreakBefore w:val="0"/>
        <w:widowControl w:val="0"/>
        <w:numPr>
          <w:ilvl w:val="0"/>
          <w:numId w:val="3"/>
        </w:numPr>
        <w:kinsoku/>
        <w:wordWrap/>
        <w:overflowPunct/>
        <w:topLinePunct w:val="0"/>
        <w:autoSpaceDE/>
        <w:autoSpaceDN/>
        <w:bidi w:val="0"/>
        <w:adjustRightInd/>
        <w:snapToGrid/>
        <w:spacing w:before="240" w:after="240" w:line="360" w:lineRule="auto"/>
        <w:ind w:left="420" w:hanging="420" w:firstLineChars="0"/>
        <w:textAlignment w:val="auto"/>
        <w:outlineLvl w:val="1"/>
        <w:rPr>
          <w:rFonts w:hint="eastAsia" w:ascii="黑体" w:hAnsi="黑体" w:eastAsia="黑体"/>
          <w:kern w:val="0"/>
          <w:sz w:val="24"/>
        </w:rPr>
      </w:pPr>
      <w:r>
        <w:rPr>
          <w:rFonts w:hint="eastAsia" w:ascii="黑体" w:hAnsi="黑体" w:eastAsia="黑体"/>
          <w:kern w:val="0"/>
          <w:sz w:val="24"/>
        </w:rPr>
        <w:t>主要工作过程</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本标准的起草过程主要分为前期准备、征求意见稿编制、送审稿编制、报批稿编制阶段，目前已完成征求意见稿编制。</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ascii="黑体" w:hAnsi="黑体" w:eastAsia="黑体"/>
          <w:kern w:val="0"/>
          <w:sz w:val="24"/>
        </w:rPr>
      </w:pPr>
      <w:r>
        <w:rPr>
          <w:rFonts w:hint="eastAsia" w:ascii="黑体" w:hAnsi="黑体" w:eastAsia="黑体"/>
          <w:kern w:val="0"/>
          <w:sz w:val="24"/>
        </w:rPr>
        <w:t>4.1</w:t>
      </w:r>
      <w:r>
        <w:rPr>
          <w:rFonts w:hint="eastAsia" w:ascii="Times New Roman" w:hAnsi="Times New Roman" w:eastAsia="宋体" w:cs="Times New Roman"/>
          <w:kern w:val="0"/>
          <w:sz w:val="24"/>
          <w:szCs w:val="20"/>
          <w:lang w:val="en-US" w:eastAsia="zh-CN" w:bidi="ar-SA"/>
        </w:rPr>
        <w:t xml:space="preserve"> </w:t>
      </w:r>
      <w:r>
        <w:rPr>
          <w:rFonts w:hint="eastAsia" w:ascii="黑体" w:hAnsi="黑体" w:eastAsia="黑体"/>
          <w:kern w:val="0"/>
          <w:sz w:val="24"/>
        </w:rPr>
        <w:t>前期准备（20</w:t>
      </w:r>
      <w:r>
        <w:rPr>
          <w:rFonts w:hint="eastAsia" w:ascii="黑体" w:hAnsi="黑体" w:eastAsia="黑体"/>
          <w:kern w:val="0"/>
          <w:sz w:val="24"/>
          <w:lang w:val="en-US" w:eastAsia="zh-CN"/>
        </w:rPr>
        <w:t>25</w:t>
      </w:r>
      <w:r>
        <w:rPr>
          <w:rFonts w:hint="eastAsia" w:ascii="黑体" w:hAnsi="黑体" w:eastAsia="黑体"/>
          <w:kern w:val="0"/>
          <w:sz w:val="24"/>
        </w:rPr>
        <w:t>年</w:t>
      </w:r>
      <w:r>
        <w:rPr>
          <w:rFonts w:hint="eastAsia" w:ascii="黑体" w:hAnsi="黑体" w:eastAsia="黑体"/>
          <w:kern w:val="0"/>
          <w:sz w:val="24"/>
          <w:lang w:val="en-US" w:eastAsia="zh-CN"/>
        </w:rPr>
        <w:t>4</w:t>
      </w:r>
      <w:r>
        <w:rPr>
          <w:rFonts w:hint="eastAsia" w:ascii="黑体" w:hAnsi="黑体" w:eastAsia="黑体"/>
          <w:kern w:val="0"/>
          <w:sz w:val="24"/>
        </w:rPr>
        <w:t>月-20</w:t>
      </w:r>
      <w:r>
        <w:rPr>
          <w:rFonts w:hint="eastAsia" w:ascii="黑体" w:hAnsi="黑体" w:eastAsia="黑体"/>
          <w:kern w:val="0"/>
          <w:sz w:val="24"/>
          <w:lang w:val="en-US" w:eastAsia="zh-CN"/>
        </w:rPr>
        <w:t>26</w:t>
      </w:r>
      <w:r>
        <w:rPr>
          <w:rFonts w:hint="eastAsia" w:ascii="黑体" w:hAnsi="黑体" w:eastAsia="黑体"/>
          <w:kern w:val="0"/>
          <w:sz w:val="24"/>
        </w:rPr>
        <w:t>年</w:t>
      </w:r>
      <w:r>
        <w:rPr>
          <w:rFonts w:hint="eastAsia" w:ascii="黑体" w:hAnsi="黑体" w:eastAsia="黑体"/>
          <w:kern w:val="0"/>
          <w:sz w:val="24"/>
          <w:lang w:val="en-US" w:eastAsia="zh-CN"/>
        </w:rPr>
        <w:t>5</w:t>
      </w:r>
      <w:r>
        <w:rPr>
          <w:rFonts w:hint="eastAsia" w:ascii="黑体" w:hAnsi="黑体" w:eastAsia="黑体"/>
          <w:kern w:val="0"/>
          <w:sz w:val="24"/>
        </w:rPr>
        <w:t>月）</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前期准备阶段主要任务是成立</w:t>
      </w:r>
      <w:r>
        <w:rPr>
          <w:rFonts w:hint="eastAsia" w:ascii="Times New Roman" w:hAnsi="Times New Roman" w:cs="Times New Roman"/>
          <w:sz w:val="24"/>
          <w:lang w:val="zh-CN" w:eastAsia="zh-CN"/>
        </w:rPr>
        <w:t>起草工作</w:t>
      </w:r>
      <w:r>
        <w:rPr>
          <w:rFonts w:hint="eastAsia" w:ascii="Times New Roman" w:hAnsi="Times New Roman" w:cs="Times New Roman"/>
          <w:sz w:val="24"/>
          <w:lang w:val="en-US" w:eastAsia="zh-CN"/>
        </w:rPr>
        <w:t>组、分解工作任务、明确编制进度、收集相关资料、开展调研分析、编制研究报告、起草标准初稿、开展立项申报、完成标准立项。</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2025年4月，生态环境部辐射源安全监管司（核三司）组织召开地浸采铀地下水修复相关工作沟通会。会后，基本形成由中核四院牵头，</w:t>
      </w:r>
      <w:r>
        <w:rPr>
          <w:rFonts w:hint="default" w:ascii="Times New Roman" w:hAnsi="Times New Roman" w:cs="Times New Roman"/>
          <w:sz w:val="24"/>
          <w:lang w:val="en-US" w:eastAsia="zh-CN"/>
        </w:rPr>
        <w:t>核化冶院、核安全中心、中核铀业、华北站、西北站、新疆核与辐射中心、内蒙古核与辐射中心、中核新疆矿业、中核内蒙古矿业、中核通辽铀业、中核矿业科技</w:t>
      </w:r>
      <w:r>
        <w:rPr>
          <w:rFonts w:hint="eastAsia" w:ascii="Times New Roman" w:hAnsi="Times New Roman" w:cs="Times New Roman"/>
          <w:sz w:val="24"/>
          <w:lang w:val="en-US" w:eastAsia="zh-CN"/>
        </w:rPr>
        <w:t>参与的标准</w:t>
      </w:r>
      <w:r>
        <w:rPr>
          <w:rFonts w:hint="eastAsia" w:ascii="Times New Roman" w:hAnsi="Times New Roman" w:cs="Times New Roman"/>
          <w:sz w:val="24"/>
          <w:lang w:val="zh-CN" w:eastAsia="zh-CN"/>
        </w:rPr>
        <w:t>起草工作</w:t>
      </w:r>
      <w:r>
        <w:rPr>
          <w:rFonts w:hint="eastAsia" w:ascii="Times New Roman" w:hAnsi="Times New Roman" w:cs="Times New Roman"/>
          <w:sz w:val="24"/>
          <w:lang w:val="en-US" w:eastAsia="zh-CN"/>
        </w:rPr>
        <w:t>组。</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2025年5月～10月，中核四院开展标准调研与起草工作。</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2025年11月，形成研究报告初稿、标准初稿。</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2025年12月，中核铀业组织召开标准初稿讨论会，会后修改完善；成立地下水修复标准领导小组及工作专班，苏学斌院士担任领导小组组长，刘晓超担任工作专班组长。</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2026年1月，中核四院赴西北站交流标准初稿，会后修改完善。</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2026年1月底，中核四院组织召开标准初稿专家咨询会，会后修改完善。</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2026年3月初，中核铀业组织召开标准初稿讨论会，会后修改完善，并明确以团体标准形式开展工作。</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2026年3月中旬，中国核学会组织召开团体标准立项技术把关会，会后修改完善。</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2026年4月，中核铀业组织召开标准初稿讨论会，会后修改完善。</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2026年5月，</w:t>
      </w:r>
      <w:r>
        <w:rPr>
          <w:rFonts w:hint="default" w:ascii="Times New Roman" w:hAnsi="Times New Roman" w:cs="Times New Roman"/>
          <w:sz w:val="24"/>
          <w:lang w:val="en-US" w:eastAsia="zh-CN"/>
        </w:rPr>
        <w:t>《关于下达2026年度第二批中国核学会团体标准立项计划的通知》（中核学发〔2026〕115号）</w:t>
      </w:r>
      <w:r>
        <w:rPr>
          <w:rFonts w:hint="eastAsia" w:ascii="Times New Roman" w:hAnsi="Times New Roman" w:cs="Times New Roman"/>
          <w:sz w:val="24"/>
          <w:lang w:val="en-US" w:eastAsia="zh-CN"/>
        </w:rPr>
        <w:t>发布</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标准完成立项，</w:t>
      </w:r>
      <w:r>
        <w:rPr>
          <w:rFonts w:hint="default" w:ascii="Times New Roman" w:hAnsi="Times New Roman" w:cs="Times New Roman"/>
          <w:sz w:val="24"/>
          <w:lang w:val="en-US" w:eastAsia="zh-CN"/>
        </w:rPr>
        <w:t>计划编号为</w:t>
      </w:r>
      <w:r>
        <w:rPr>
          <w:rFonts w:hint="default" w:ascii="Times New Roman" w:hAnsi="Times New Roman" w:cs="Times New Roman"/>
          <w:sz w:val="24"/>
          <w:lang w:val="zh-CN" w:eastAsia="zh-CN"/>
        </w:rPr>
        <w:t>HTB202</w:t>
      </w:r>
      <w:r>
        <w:rPr>
          <w:rFonts w:hint="default" w:ascii="Times New Roman" w:hAnsi="Times New Roman" w:cs="Times New Roman"/>
          <w:sz w:val="24"/>
          <w:lang w:val="en-US" w:eastAsia="zh-CN"/>
        </w:rPr>
        <w:t>6085</w:t>
      </w:r>
      <w:r>
        <w:rPr>
          <w:rFonts w:hint="eastAsia" w:ascii="Times New Roman" w:hAnsi="Times New Roman" w:cs="Times New Roman"/>
          <w:sz w:val="24"/>
          <w:lang w:val="en-US" w:eastAsia="zh-CN"/>
        </w:rPr>
        <w:t>。</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hint="eastAsia" w:ascii="黑体" w:hAnsi="黑体" w:eastAsia="黑体"/>
          <w:kern w:val="0"/>
          <w:sz w:val="24"/>
          <w:lang w:val="en-US" w:eastAsia="zh-CN"/>
        </w:rPr>
      </w:pPr>
      <w:r>
        <w:rPr>
          <w:rFonts w:hint="eastAsia" w:ascii="黑体" w:hAnsi="黑体" w:eastAsia="黑体"/>
          <w:kern w:val="0"/>
          <w:sz w:val="24"/>
        </w:rPr>
        <w:t>4.2 征求意见稿编制（20</w:t>
      </w:r>
      <w:r>
        <w:rPr>
          <w:rFonts w:hint="eastAsia" w:ascii="黑体" w:hAnsi="黑体" w:eastAsia="黑体"/>
          <w:kern w:val="0"/>
          <w:sz w:val="24"/>
          <w:lang w:val="en-US" w:eastAsia="zh-CN"/>
        </w:rPr>
        <w:t>26</w:t>
      </w:r>
      <w:r>
        <w:rPr>
          <w:rFonts w:hint="eastAsia" w:ascii="黑体" w:hAnsi="黑体" w:eastAsia="黑体"/>
          <w:kern w:val="0"/>
          <w:sz w:val="24"/>
        </w:rPr>
        <w:t>年</w:t>
      </w:r>
      <w:r>
        <w:rPr>
          <w:rFonts w:hint="eastAsia" w:ascii="黑体" w:hAnsi="黑体" w:eastAsia="黑体"/>
          <w:kern w:val="0"/>
          <w:sz w:val="24"/>
          <w:lang w:val="en-US" w:eastAsia="zh-CN"/>
        </w:rPr>
        <w:t>5</w:t>
      </w:r>
      <w:r>
        <w:rPr>
          <w:rFonts w:hint="eastAsia" w:ascii="黑体" w:hAnsi="黑体" w:eastAsia="黑体"/>
          <w:kern w:val="0"/>
          <w:sz w:val="24"/>
        </w:rPr>
        <w:t>月-20</w:t>
      </w:r>
      <w:r>
        <w:rPr>
          <w:rFonts w:hint="eastAsia" w:ascii="黑体" w:hAnsi="黑体" w:eastAsia="黑体"/>
          <w:kern w:val="0"/>
          <w:sz w:val="24"/>
          <w:lang w:val="en-US" w:eastAsia="zh-CN"/>
        </w:rPr>
        <w:t>26</w:t>
      </w:r>
      <w:r>
        <w:rPr>
          <w:rFonts w:hint="eastAsia" w:ascii="黑体" w:hAnsi="黑体" w:eastAsia="黑体"/>
          <w:kern w:val="0"/>
          <w:sz w:val="24"/>
        </w:rPr>
        <w:t>年</w:t>
      </w:r>
      <w:r>
        <w:rPr>
          <w:rFonts w:hint="eastAsia" w:ascii="黑体" w:hAnsi="黑体" w:eastAsia="黑体"/>
          <w:kern w:val="0"/>
          <w:sz w:val="24"/>
          <w:lang w:val="en-US" w:eastAsia="zh-CN"/>
        </w:rPr>
        <w:t>6</w:t>
      </w:r>
      <w:r>
        <w:rPr>
          <w:rFonts w:hint="eastAsia" w:ascii="黑体" w:hAnsi="黑体" w:eastAsia="黑体"/>
          <w:kern w:val="0"/>
          <w:sz w:val="24"/>
        </w:rPr>
        <w:t>月）</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2026年5月底，中核铀业组织召开标准征求意见稿（过程版）讨论会，核三司、华北站、西北站、核安全中心、内蒙古核与辐射中心、中核四院、</w:t>
      </w:r>
      <w:r>
        <w:rPr>
          <w:rFonts w:hint="default" w:ascii="Times New Roman" w:hAnsi="Times New Roman" w:cs="Times New Roman"/>
          <w:sz w:val="24"/>
          <w:lang w:val="en-US" w:eastAsia="zh-CN"/>
        </w:rPr>
        <w:t>核化冶院、中核新疆矿业、中核内蒙古矿业、中核通辽铀业、中核矿业科技</w:t>
      </w:r>
      <w:r>
        <w:rPr>
          <w:rFonts w:hint="eastAsia" w:ascii="Times New Roman" w:hAnsi="Times New Roman" w:cs="Times New Roman"/>
          <w:sz w:val="24"/>
          <w:lang w:val="en-US" w:eastAsia="zh-CN"/>
        </w:rPr>
        <w:t>等单位参会，会后修改完善。</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2026年6月，中核四院组织召开标准征求意见稿（过程版）专家咨询会，会后修改完善，形成标准征求意见稿。</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ascii="黑体" w:eastAsia="黑体"/>
          <w:sz w:val="28"/>
          <w:szCs w:val="28"/>
        </w:rPr>
      </w:pPr>
      <w:r>
        <w:rPr>
          <w:rFonts w:hint="eastAsia" w:ascii="黑体" w:eastAsia="黑体"/>
          <w:sz w:val="28"/>
          <w:szCs w:val="28"/>
        </w:rPr>
        <w:t>标准</w:t>
      </w:r>
      <w:r>
        <w:rPr>
          <w:rFonts w:ascii="黑体" w:eastAsia="黑体"/>
          <w:sz w:val="28"/>
          <w:szCs w:val="28"/>
        </w:rPr>
        <w:t>编制原则</w:t>
      </w:r>
      <w:r>
        <w:rPr>
          <w:rFonts w:hint="eastAsia" w:ascii="黑体" w:eastAsia="黑体"/>
          <w:sz w:val="28"/>
          <w:szCs w:val="28"/>
        </w:rPr>
        <w:t>和</w:t>
      </w:r>
      <w:r>
        <w:rPr>
          <w:rFonts w:ascii="黑体" w:eastAsia="黑体"/>
          <w:sz w:val="28"/>
          <w:szCs w:val="28"/>
        </w:rPr>
        <w:t>确定标准主要内容的依据</w:t>
      </w:r>
    </w:p>
    <w:p>
      <w:pPr>
        <w:pStyle w:val="17"/>
        <w:keepNext w:val="0"/>
        <w:keepLines w:val="0"/>
        <w:pageBreakBefore w:val="0"/>
        <w:widowControl w:val="0"/>
        <w:numPr>
          <w:ilvl w:val="0"/>
          <w:numId w:val="4"/>
        </w:numPr>
        <w:kinsoku/>
        <w:wordWrap/>
        <w:overflowPunct/>
        <w:topLinePunct w:val="0"/>
        <w:autoSpaceDE/>
        <w:autoSpaceDN/>
        <w:bidi w:val="0"/>
        <w:adjustRightInd/>
        <w:snapToGrid/>
        <w:spacing w:before="240" w:after="240" w:line="360" w:lineRule="auto"/>
        <w:ind w:left="420" w:hanging="420" w:firstLineChars="0"/>
        <w:textAlignment w:val="auto"/>
        <w:outlineLvl w:val="1"/>
        <w:rPr>
          <w:rFonts w:hint="eastAsia" w:ascii="黑体" w:hAnsi="黑体" w:eastAsia="黑体" w:cs="黑体"/>
          <w:sz w:val="24"/>
          <w:szCs w:val="24"/>
        </w:rPr>
      </w:pPr>
      <w:r>
        <w:rPr>
          <w:rFonts w:hint="eastAsia" w:ascii="黑体" w:hAnsi="黑体" w:eastAsia="黑体" w:cs="黑体"/>
          <w:kern w:val="0"/>
          <w:sz w:val="24"/>
          <w:szCs w:val="24"/>
        </w:rPr>
        <w:t>标准编制原则</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1）遵守国家政策法规要求；</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2）执行国家和铀矿冶行业相关标准规定；</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3）参照国外地浸采铀地下水修复和国内常规环境地下水修复法规标准与实践经验；</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4）结合“一矿一策”原则，分区分类施策，差异化、精准化确定地下水修复策略；</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5）统筹各方面因素，科学合理给出修复目标，确保标准适用性和可操作性。</w:t>
      </w:r>
    </w:p>
    <w:p>
      <w:pPr>
        <w:pStyle w:val="17"/>
        <w:keepNext w:val="0"/>
        <w:keepLines w:val="0"/>
        <w:pageBreakBefore w:val="0"/>
        <w:widowControl w:val="0"/>
        <w:numPr>
          <w:ilvl w:val="0"/>
          <w:numId w:val="4"/>
        </w:numPr>
        <w:kinsoku/>
        <w:wordWrap/>
        <w:overflowPunct/>
        <w:topLinePunct w:val="0"/>
        <w:autoSpaceDE/>
        <w:autoSpaceDN/>
        <w:bidi w:val="0"/>
        <w:adjustRightInd/>
        <w:snapToGrid/>
        <w:spacing w:before="240" w:after="240" w:line="360" w:lineRule="auto"/>
        <w:ind w:left="420" w:hanging="420" w:firstLineChars="0"/>
        <w:textAlignment w:val="auto"/>
        <w:outlineLvl w:val="1"/>
        <w:rPr>
          <w:rFonts w:hint="eastAsia" w:ascii="黑体" w:hAnsi="黑体" w:eastAsia="黑体" w:cs="黑体"/>
          <w:kern w:val="0"/>
          <w:sz w:val="24"/>
          <w:szCs w:val="24"/>
        </w:rPr>
      </w:pPr>
      <w:bookmarkStart w:id="2" w:name="_Toc361669937"/>
      <w:bookmarkEnd w:id="2"/>
      <w:r>
        <w:rPr>
          <w:rFonts w:hint="eastAsia" w:ascii="黑体" w:hAnsi="黑体" w:eastAsia="黑体" w:cs="黑体"/>
          <w:kern w:val="0"/>
          <w:sz w:val="24"/>
          <w:szCs w:val="24"/>
        </w:rPr>
        <w:t>确定标准主要内容的依据</w:t>
      </w:r>
    </w:p>
    <w:p>
      <w:pPr>
        <w:pStyle w:val="2"/>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Ansi="Times New Roman" w:cs="Times New Roman"/>
          <w:sz w:val="24"/>
          <w:lang w:val="en-US" w:eastAsia="zh-CN"/>
        </w:rPr>
      </w:pPr>
      <w:r>
        <w:rPr>
          <w:rFonts w:hint="default" w:ascii="Times New Roman" w:hAnsi="Times New Roman" w:cs="Times New Roman"/>
          <w:sz w:val="24"/>
          <w:lang w:val="en-US" w:eastAsia="zh-CN"/>
        </w:rPr>
        <w:t>《铀矿冶辐射防护和辐射环境保护规定》（GB23727-2020）中规定，地浸造成地下水污染的，应根据技术经济条件和所在地区的环境要求及地下水水文地质条件确定地下水修复目标值。</w:t>
      </w:r>
      <w:r>
        <w:rPr>
          <w:rFonts w:hint="eastAsia" w:ascii="Times New Roman" w:hAnsi="Times New Roman" w:cs="Times New Roman"/>
          <w:sz w:val="24"/>
          <w:lang w:val="en-US" w:eastAsia="zh-CN"/>
        </w:rPr>
        <w:t>本标准在</w:t>
      </w:r>
      <w:r>
        <w:rPr>
          <w:rFonts w:hint="default" w:ascii="Times New Roman" w:hAnsi="Times New Roman" w:cs="Times New Roman"/>
          <w:sz w:val="24"/>
          <w:lang w:val="en-US" w:eastAsia="zh-CN"/>
        </w:rPr>
        <w:t>GB23727</w:t>
      </w:r>
      <w:r>
        <w:rPr>
          <w:rFonts w:hint="eastAsia" w:ascii="Times New Roman" w:hAnsi="Times New Roman" w:cs="Times New Roman"/>
          <w:sz w:val="24"/>
          <w:lang w:val="en-US" w:eastAsia="zh-CN"/>
        </w:rPr>
        <w:t>原则性规定的基础上，开展了主要内容的起草。本标准还引用或参照了《</w:t>
      </w:r>
      <w:r>
        <w:rPr>
          <w:rFonts w:hint="default" w:ascii="Times New Roman" w:hAnsi="Times New Roman" w:cs="Times New Roman"/>
          <w:sz w:val="24"/>
          <w:lang w:val="en-US" w:eastAsia="zh-CN"/>
        </w:rPr>
        <w:t>生活饮用水卫生标准</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GB</w:t>
      </w:r>
      <w:r>
        <w:rPr>
          <w:rFonts w:hint="eastAsia" w:ascii="Times New Roman" w:hAnsi="Times New Roman" w:cs="Times New Roman"/>
          <w:sz w:val="24"/>
          <w:lang w:val="en-US" w:eastAsia="zh-CN"/>
        </w:rPr>
        <w:t>5749-2022）、《</w:t>
      </w:r>
      <w:r>
        <w:rPr>
          <w:rFonts w:hint="default" w:ascii="Times New Roman" w:hAnsi="Times New Roman" w:cs="Times New Roman"/>
          <w:sz w:val="24"/>
          <w:lang w:val="en-US" w:eastAsia="zh-CN"/>
        </w:rPr>
        <w:t>铀矿冶设施退役</w:t>
      </w:r>
      <w:r>
        <w:rPr>
          <w:rFonts w:hint="eastAsia" w:ascii="Times New Roman" w:hAnsi="Times New Roman" w:cs="Times New Roman"/>
          <w:sz w:val="24"/>
          <w:lang w:val="en-US" w:eastAsia="zh-CN"/>
        </w:rPr>
        <w:t>辐射</w:t>
      </w:r>
      <w:r>
        <w:rPr>
          <w:rFonts w:hint="default" w:ascii="Times New Roman" w:hAnsi="Times New Roman" w:cs="Times New Roman"/>
          <w:sz w:val="24"/>
          <w:lang w:val="en-US" w:eastAsia="zh-CN"/>
        </w:rPr>
        <w:t>环境管理技术规定</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GB14586</w:t>
      </w:r>
      <w:r>
        <w:rPr>
          <w:rFonts w:hint="eastAsia" w:ascii="Times New Roman" w:hAnsi="Times New Roman" w:cs="Times New Roman"/>
          <w:sz w:val="24"/>
          <w:lang w:val="en-US" w:eastAsia="zh-CN"/>
        </w:rPr>
        <w:t>-2026）报批稿、《</w:t>
      </w:r>
      <w:r>
        <w:rPr>
          <w:rFonts w:hint="default" w:ascii="Times New Roman" w:hAnsi="Times New Roman" w:cs="Times New Roman"/>
          <w:sz w:val="24"/>
          <w:lang w:val="en-US" w:eastAsia="zh-CN"/>
        </w:rPr>
        <w:t>铀矿冶</w:t>
      </w:r>
      <w:r>
        <w:rPr>
          <w:rFonts w:hint="eastAsia" w:ascii="Times New Roman" w:hAnsi="Times New Roman" w:cs="Times New Roman"/>
          <w:sz w:val="24"/>
          <w:lang w:val="en-US" w:eastAsia="zh-CN"/>
        </w:rPr>
        <w:t>流出物和</w:t>
      </w:r>
      <w:r>
        <w:rPr>
          <w:rFonts w:hint="default" w:ascii="Times New Roman" w:hAnsi="Times New Roman" w:cs="Times New Roman"/>
          <w:sz w:val="24"/>
          <w:lang w:val="en-US" w:eastAsia="zh-CN"/>
        </w:rPr>
        <w:t>辐射环境监测规定</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GB23726</w:t>
      </w:r>
      <w:r>
        <w:rPr>
          <w:rFonts w:hint="eastAsia" w:ascii="Times New Roman" w:hAnsi="Times New Roman" w:cs="Times New Roman"/>
          <w:sz w:val="24"/>
          <w:lang w:val="en-US" w:eastAsia="zh-CN"/>
        </w:rPr>
        <w:t>-2026）报批稿、《地下水质量标准》（GB/T14848-2025）报批稿、《</w:t>
      </w:r>
      <w:r>
        <w:rPr>
          <w:rFonts w:hint="default" w:ascii="Times New Roman" w:hAnsi="Times New Roman" w:cs="Times New Roman"/>
          <w:sz w:val="24"/>
          <w:lang w:val="en-US" w:eastAsia="zh-CN"/>
        </w:rPr>
        <w:t>污染地块地下水修复和风险管控技术导则</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HJ25.6</w:t>
      </w:r>
      <w:r>
        <w:rPr>
          <w:rFonts w:hint="eastAsia" w:ascii="Times New Roman" w:hAnsi="Times New Roman" w:cs="Times New Roman"/>
          <w:sz w:val="24"/>
          <w:lang w:val="en-US" w:eastAsia="zh-CN"/>
        </w:rPr>
        <w:t>-2019）、《</w:t>
      </w:r>
      <w:r>
        <w:rPr>
          <w:rFonts w:hint="default" w:ascii="Times New Roman" w:hAnsi="Times New Roman" w:cs="Times New Roman"/>
          <w:sz w:val="24"/>
          <w:lang w:val="en-US" w:eastAsia="zh-CN"/>
        </w:rPr>
        <w:t xml:space="preserve">环境影响评价技术导则 </w:t>
      </w:r>
      <w:r>
        <w:rPr>
          <w:rFonts w:hint="eastAsia" w:ascii="Times New Roman" w:hAnsi="Times New Roman" w:cs="Times New Roman"/>
          <w:sz w:val="24"/>
          <w:lang w:val="en-US" w:eastAsia="zh-CN"/>
        </w:rPr>
        <w:t xml:space="preserve"> </w:t>
      </w:r>
      <w:r>
        <w:rPr>
          <w:rFonts w:hint="default" w:ascii="Times New Roman" w:hAnsi="Times New Roman" w:cs="Times New Roman"/>
          <w:sz w:val="24"/>
          <w:lang w:val="en-US" w:eastAsia="zh-CN"/>
        </w:rPr>
        <w:t>地下水环境</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HJ610</w:t>
      </w:r>
      <w:r>
        <w:rPr>
          <w:rFonts w:hint="eastAsia" w:ascii="Times New Roman" w:hAnsi="Times New Roman" w:cs="Times New Roman"/>
          <w:sz w:val="24"/>
          <w:lang w:val="en-US" w:eastAsia="zh-CN"/>
        </w:rPr>
        <w:t>-2016）、《</w:t>
      </w:r>
      <w:r>
        <w:rPr>
          <w:rFonts w:hint="default" w:ascii="Times New Roman" w:hAnsi="Times New Roman" w:cs="Times New Roman"/>
          <w:sz w:val="24"/>
          <w:lang w:val="en-US" w:eastAsia="zh-CN"/>
        </w:rPr>
        <w:t>环境影响评价技术导则  铀矿冶退役</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HJ1015.2</w:t>
      </w:r>
      <w:r>
        <w:rPr>
          <w:rFonts w:hint="eastAsia" w:ascii="Times New Roman" w:hAnsi="Times New Roman" w:cs="Times New Roman"/>
          <w:sz w:val="24"/>
          <w:lang w:val="en-US" w:eastAsia="zh-CN"/>
        </w:rPr>
        <w:t>-2019）等。</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ascii="黑体" w:eastAsia="黑体"/>
          <w:sz w:val="28"/>
          <w:szCs w:val="28"/>
          <w:highlight w:val="none"/>
        </w:rPr>
      </w:pPr>
      <w:r>
        <w:rPr>
          <w:rFonts w:hint="eastAsia" w:ascii="黑体" w:hAnsi="宋体" w:eastAsia="黑体"/>
          <w:sz w:val="28"/>
          <w:szCs w:val="28"/>
          <w:highlight w:val="none"/>
        </w:rPr>
        <w:t>标准主要</w:t>
      </w:r>
      <w:r>
        <w:rPr>
          <w:rFonts w:ascii="黑体" w:hAnsi="宋体" w:eastAsia="黑体"/>
          <w:sz w:val="28"/>
          <w:szCs w:val="28"/>
          <w:highlight w:val="none"/>
        </w:rPr>
        <w:t>内容的确定</w:t>
      </w:r>
    </w:p>
    <w:p>
      <w:pPr>
        <w:pStyle w:val="17"/>
        <w:keepNext w:val="0"/>
        <w:keepLines w:val="0"/>
        <w:pageBreakBefore w:val="0"/>
        <w:widowControl w:val="0"/>
        <w:numPr>
          <w:ilvl w:val="0"/>
          <w:numId w:val="5"/>
        </w:numPr>
        <w:kinsoku/>
        <w:wordWrap/>
        <w:overflowPunct/>
        <w:topLinePunct w:val="0"/>
        <w:autoSpaceDE/>
        <w:autoSpaceDN/>
        <w:bidi w:val="0"/>
        <w:adjustRightInd/>
        <w:snapToGrid/>
        <w:spacing w:before="240" w:after="240" w:line="360" w:lineRule="auto"/>
        <w:ind w:left="420" w:hanging="420" w:firstLineChars="0"/>
        <w:textAlignment w:val="auto"/>
        <w:outlineLvl w:val="1"/>
        <w:rPr>
          <w:rFonts w:hint="eastAsia" w:ascii="黑体" w:hAnsi="黑体" w:eastAsia="黑体" w:cs="黑体"/>
          <w:sz w:val="24"/>
          <w:szCs w:val="24"/>
        </w:rPr>
      </w:pPr>
      <w:r>
        <w:rPr>
          <w:rFonts w:hint="eastAsia" w:ascii="黑体" w:hAnsi="黑体" w:eastAsia="黑体" w:cs="黑体"/>
          <w:kern w:val="0"/>
          <w:sz w:val="24"/>
          <w:szCs w:val="24"/>
        </w:rPr>
        <w:t>编制</w:t>
      </w:r>
      <w:r>
        <w:rPr>
          <w:rFonts w:hint="eastAsia" w:ascii="黑体" w:hAnsi="黑体" w:eastAsia="黑体" w:cs="黑体"/>
          <w:kern w:val="0"/>
          <w:sz w:val="24"/>
          <w:szCs w:val="24"/>
          <w:lang w:val="en-US" w:eastAsia="zh-CN"/>
        </w:rPr>
        <w:t>背景简介</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我国</w:t>
      </w:r>
      <w:r>
        <w:rPr>
          <w:rFonts w:hint="eastAsia" w:ascii="Times New Roman" w:hAnsi="Times New Roman" w:eastAsia="宋体" w:cs="Times New Roman"/>
          <w:sz w:val="24"/>
          <w:szCs w:val="24"/>
          <w:lang w:val="en-US" w:eastAsia="zh-CN"/>
        </w:rPr>
        <w:t>“十五五”</w:t>
      </w:r>
      <w:r>
        <w:rPr>
          <w:rFonts w:hint="eastAsia" w:ascii="Times New Roman" w:hAnsi="Times New Roman" w:eastAsia="宋体" w:cs="Times New Roman"/>
          <w:color w:val="000000" w:themeColor="text1"/>
          <w:sz w:val="24"/>
          <w:lang w:val="en-US" w:eastAsia="zh-CN"/>
          <w14:textFill>
            <w14:solidFill>
              <w14:schemeClr w14:val="tx1"/>
            </w14:solidFill>
          </w14:textFill>
        </w:rPr>
        <w:t>规划纲要提出，要持续深入推进污染防治攻坚，常态化管控生态环境风险，加强老旧设施退役治理和放射性废物处置，实施地下水保护治理行动，实施生态环境法典，健全责任体系、监管体系、法律法规标准体系。</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目前我国新探明的可地浸砂岩型铀矿床大多</w:t>
      </w:r>
      <w:r>
        <w:rPr>
          <w:rFonts w:hint="eastAsia" w:ascii="Times New Roman" w:hAnsi="Times New Roman" w:eastAsia="宋体" w:cs="Times New Roman"/>
          <w:color w:val="000000" w:themeColor="text1"/>
          <w:sz w:val="24"/>
          <w:lang w:val="en-US" w:eastAsia="zh-CN"/>
          <w14:textFill>
            <w14:solidFill>
              <w14:schemeClr w14:val="tx1"/>
            </w14:solidFill>
          </w14:textFill>
        </w:rPr>
        <w:t>分布</w:t>
      </w:r>
      <w:r>
        <w:rPr>
          <w:rFonts w:hint="default" w:ascii="Times New Roman" w:hAnsi="Times New Roman" w:eastAsia="宋体" w:cs="Times New Roman"/>
          <w:color w:val="000000" w:themeColor="text1"/>
          <w:sz w:val="24"/>
          <w:lang w:val="en-US" w:eastAsia="zh-CN"/>
          <w14:textFill>
            <w14:solidFill>
              <w14:schemeClr w14:val="tx1"/>
            </w14:solidFill>
          </w14:textFill>
        </w:rPr>
        <w:t>在内蒙古</w:t>
      </w:r>
      <w:r>
        <w:rPr>
          <w:rFonts w:hint="eastAsia" w:ascii="Times New Roman" w:hAnsi="Times New Roman" w:eastAsia="宋体" w:cs="Times New Roman"/>
          <w:color w:val="000000" w:themeColor="text1"/>
          <w:sz w:val="24"/>
          <w:lang w:val="en-US" w:eastAsia="zh-CN"/>
          <w14:textFill>
            <w14:solidFill>
              <w14:schemeClr w14:val="tx1"/>
            </w14:solidFill>
          </w14:textFill>
        </w:rPr>
        <w:t>、</w:t>
      </w:r>
      <w:r>
        <w:rPr>
          <w:rFonts w:hint="default" w:ascii="Times New Roman" w:hAnsi="Times New Roman" w:eastAsia="宋体" w:cs="Times New Roman"/>
          <w:color w:val="000000" w:themeColor="text1"/>
          <w:sz w:val="24"/>
          <w:lang w:val="en-US" w:eastAsia="zh-CN"/>
          <w14:textFill>
            <w14:solidFill>
              <w14:schemeClr w14:val="tx1"/>
            </w14:solidFill>
          </w14:textFill>
        </w:rPr>
        <w:t>新疆等地区，随着国家生态文明建设和绿色发展理念的不断加深，对地下水环境保护的要求也越来越高，公众环境保护意识亦越来越强。地浸铀矿</w:t>
      </w:r>
      <w:r>
        <w:rPr>
          <w:rFonts w:hint="eastAsia" w:ascii="Times New Roman" w:hAnsi="Times New Roman" w:eastAsia="宋体" w:cs="Times New Roman"/>
          <w:color w:val="000000" w:themeColor="text1"/>
          <w:sz w:val="24"/>
          <w:lang w:val="en-US" w:eastAsia="zh-CN"/>
          <w14:textFill>
            <w14:solidFill>
              <w14:schemeClr w14:val="tx1"/>
            </w14:solidFill>
          </w14:textFill>
        </w:rPr>
        <w:t>山</w:t>
      </w:r>
      <w:r>
        <w:rPr>
          <w:rFonts w:hint="default" w:ascii="Times New Roman" w:hAnsi="Times New Roman" w:eastAsia="宋体" w:cs="Times New Roman"/>
          <w:color w:val="000000" w:themeColor="text1"/>
          <w:sz w:val="24"/>
          <w:lang w:val="en-US" w:eastAsia="zh-CN"/>
          <w14:textFill>
            <w14:solidFill>
              <w14:schemeClr w14:val="tx1"/>
            </w14:solidFill>
          </w14:textFill>
        </w:rPr>
        <w:t>停采待退役采区数量的增加、生态环境保护要求的提高和行业绿色高质量发展的需求，使得地下水修复亟需提上日程。</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fldChar w:fldCharType="begin"/>
      </w:r>
      <w:r>
        <w:rPr>
          <w:rFonts w:hint="eastAsia" w:ascii="Times New Roman" w:hAnsi="Times New Roman" w:eastAsia="宋体" w:cs="Times New Roman"/>
          <w:color w:val="000000" w:themeColor="text1"/>
          <w:sz w:val="24"/>
          <w:lang w:val="en-US" w:eastAsia="zh-CN"/>
          <w14:textFill>
            <w14:solidFill>
              <w14:schemeClr w14:val="tx1"/>
            </w14:solidFill>
          </w14:textFill>
        </w:rPr>
        <w:instrText xml:space="preserve"> HYPERLINK "javascript:void(0)" </w:instrText>
      </w:r>
      <w:r>
        <w:rPr>
          <w:rFonts w:hint="eastAsia" w:ascii="Times New Roman" w:hAnsi="Times New Roman" w:eastAsia="宋体" w:cs="Times New Roman"/>
          <w:color w:val="000000" w:themeColor="text1"/>
          <w:sz w:val="24"/>
          <w:lang w:val="en-US" w:eastAsia="zh-CN"/>
          <w14:textFill>
            <w14:solidFill>
              <w14:schemeClr w14:val="tx1"/>
            </w14:solidFill>
          </w14:textFill>
        </w:rPr>
        <w:fldChar w:fldCharType="separate"/>
      </w:r>
      <w:r>
        <w:rPr>
          <w:rFonts w:hint="eastAsia" w:ascii="Times New Roman" w:hAnsi="Times New Roman" w:eastAsia="宋体" w:cs="Times New Roman"/>
          <w:color w:val="000000" w:themeColor="text1"/>
          <w:sz w:val="24"/>
          <w:lang w:val="en-US" w:eastAsia="zh-CN"/>
          <w14:textFill>
            <w14:solidFill>
              <w14:schemeClr w14:val="tx1"/>
            </w14:solidFill>
          </w14:textFill>
        </w:rPr>
        <w:t>华北站、西北站等开展监督检查时多次就内蒙古、新疆地浸铀矿山退役地下水修复工作提出意见建议。2023年8月，生态环境部董保同副部长调研地浸铀矿山时指出，应结合“一矿一策”原则，推动地下水修复工作的开展。2024年12月，生态环境部核三司在与中核铀业的年度沟通会上重点提出加快推动地浸铀矿山停采采区地下水修复工作。2025年1月，生态环境部（国家核安全局）在与中核集团的核安全监管年度对话会上要求中核集团应克服消极等待思想，加快开展地下水修复研究和应用，制定明确的地下水修复研究计划时间表；结合“一矿一策”原则，对下游生产采区没有影响的停采采区，实施边采边退模式，开展地下水修复；加大资源统筹，加强地浸铀矿地下水修复研究和应用的支持力度，在新建和运行的试验项目和产能项目中，配套开展地下水修复相关研究工作。2026年3月，董保同副部长调研中核铀业时，再次要求按照边开采边退役的思路一体推进地浸矿山退役，加快推动地浸采铀地下水修复。</w:t>
      </w:r>
    </w:p>
    <w:p>
      <w:pPr>
        <w:spacing w:line="360" w:lineRule="auto"/>
        <w:ind w:firstLine="480"/>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《铀矿冶辐射防护和辐射环境保护规定》（GB23727-2020）中规定，地浸造成地下水污染的，应根据技术经济条件和所在地区的环境要求及地下水水文地质条件确定地下水修复目标值。地浸</w:t>
      </w:r>
      <w:r>
        <w:rPr>
          <w:rFonts w:hint="eastAsia" w:ascii="Times New Roman" w:hAnsi="Times New Roman" w:eastAsia="宋体" w:cs="Times New Roman"/>
          <w:color w:val="000000" w:themeColor="text1"/>
          <w:sz w:val="24"/>
          <w:lang w:val="en-US" w:eastAsia="zh-CN"/>
          <w14:textFill>
            <w14:solidFill>
              <w14:schemeClr w14:val="tx1"/>
            </w14:solidFill>
          </w14:textFill>
        </w:rPr>
        <w:t>采铀</w:t>
      </w:r>
      <w:r>
        <w:rPr>
          <w:rFonts w:hint="default" w:ascii="Times New Roman" w:hAnsi="Times New Roman" w:eastAsia="宋体" w:cs="Times New Roman"/>
          <w:color w:val="000000" w:themeColor="text1"/>
          <w:sz w:val="24"/>
          <w:lang w:val="en-US" w:eastAsia="zh-CN"/>
          <w14:textFill>
            <w14:solidFill>
              <w14:schemeClr w14:val="tx1"/>
            </w14:solidFill>
          </w14:textFill>
        </w:rPr>
        <w:t>地下水修复标准是地下水修复</w:t>
      </w:r>
      <w:r>
        <w:rPr>
          <w:rFonts w:hint="eastAsia" w:ascii="Times New Roman" w:hAnsi="Times New Roman" w:eastAsia="宋体" w:cs="Times New Roman"/>
          <w:color w:val="000000" w:themeColor="text1"/>
          <w:sz w:val="24"/>
          <w:lang w:val="en-US" w:eastAsia="zh-CN"/>
          <w14:textFill>
            <w14:solidFill>
              <w14:schemeClr w14:val="tx1"/>
            </w14:solidFill>
          </w14:textFill>
        </w:rPr>
        <w:t>工作</w:t>
      </w:r>
      <w:r>
        <w:rPr>
          <w:rFonts w:hint="default" w:ascii="Times New Roman" w:hAnsi="Times New Roman" w:eastAsia="宋体" w:cs="Times New Roman"/>
          <w:color w:val="000000" w:themeColor="text1"/>
          <w:sz w:val="24"/>
          <w:lang w:val="en-US" w:eastAsia="zh-CN"/>
          <w14:textFill>
            <w14:solidFill>
              <w14:schemeClr w14:val="tx1"/>
            </w14:solidFill>
          </w14:textFill>
        </w:rPr>
        <w:t>的</w:t>
      </w:r>
      <w:r>
        <w:rPr>
          <w:rFonts w:hint="eastAsia" w:ascii="Times New Roman" w:hAnsi="Times New Roman" w:eastAsia="宋体" w:cs="Times New Roman"/>
          <w:color w:val="000000" w:themeColor="text1"/>
          <w:sz w:val="24"/>
          <w:lang w:val="en-US" w:eastAsia="zh-CN"/>
          <w14:textFill>
            <w14:solidFill>
              <w14:schemeClr w14:val="tx1"/>
            </w14:solidFill>
          </w14:textFill>
        </w:rPr>
        <w:t>基础</w:t>
      </w:r>
      <w:r>
        <w:rPr>
          <w:rFonts w:hint="default" w:ascii="Times New Roman" w:hAnsi="Times New Roman" w:eastAsia="宋体" w:cs="Times New Roman"/>
          <w:color w:val="000000" w:themeColor="text1"/>
          <w:sz w:val="24"/>
          <w:lang w:val="en-US"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监管部门</w:t>
      </w:r>
      <w:r>
        <w:rPr>
          <w:rFonts w:hint="default" w:ascii="Times New Roman" w:hAnsi="Times New Roman" w:eastAsia="宋体" w:cs="Times New Roman"/>
          <w:color w:val="000000" w:themeColor="text1"/>
          <w:sz w:val="24"/>
          <w:lang w:val="en-US" w:eastAsia="zh-CN"/>
          <w14:textFill>
            <w14:solidFill>
              <w14:schemeClr w14:val="tx1"/>
            </w14:solidFill>
          </w14:textFill>
        </w:rPr>
        <w:t>要求根据</w:t>
      </w:r>
      <w:r>
        <w:rPr>
          <w:rFonts w:hint="eastAsia" w:ascii="Times New Roman" w:hAnsi="Times New Roman" w:eastAsia="宋体" w:cs="Times New Roman"/>
          <w:color w:val="000000" w:themeColor="text1"/>
          <w:sz w:val="24"/>
          <w:lang w:val="en-US" w:eastAsia="zh-CN"/>
          <w14:textFill>
            <w14:solidFill>
              <w14:schemeClr w14:val="tx1"/>
            </w14:solidFill>
          </w14:textFill>
        </w:rPr>
        <w:t>“</w:t>
      </w:r>
      <w:r>
        <w:rPr>
          <w:rFonts w:hint="default" w:ascii="Times New Roman" w:hAnsi="Times New Roman" w:eastAsia="宋体" w:cs="Times New Roman"/>
          <w:color w:val="000000" w:themeColor="text1"/>
          <w:sz w:val="24"/>
          <w:lang w:val="en-US" w:eastAsia="zh-CN"/>
          <w14:textFill>
            <w14:solidFill>
              <w14:schemeClr w14:val="tx1"/>
            </w14:solidFill>
          </w14:textFill>
        </w:rPr>
        <w:t>一矿一策</w:t>
      </w:r>
      <w:r>
        <w:rPr>
          <w:rFonts w:hint="eastAsia" w:ascii="Times New Roman" w:hAnsi="Times New Roman" w:eastAsia="宋体" w:cs="Times New Roman"/>
          <w:color w:val="000000" w:themeColor="text1"/>
          <w:sz w:val="24"/>
          <w:lang w:val="en-US" w:eastAsia="zh-CN"/>
          <w14:textFill>
            <w14:solidFill>
              <w14:schemeClr w14:val="tx1"/>
            </w14:solidFill>
          </w14:textFill>
        </w:rPr>
        <w:t>”</w:t>
      </w:r>
      <w:r>
        <w:rPr>
          <w:rFonts w:hint="default" w:ascii="Times New Roman" w:hAnsi="Times New Roman" w:eastAsia="宋体" w:cs="Times New Roman"/>
          <w:color w:val="000000" w:themeColor="text1"/>
          <w:sz w:val="24"/>
          <w:lang w:val="en-US" w:eastAsia="zh-CN"/>
          <w14:textFill>
            <w14:solidFill>
              <w14:schemeClr w14:val="tx1"/>
            </w14:solidFill>
          </w14:textFill>
        </w:rPr>
        <w:t>的原则，开展地下水修复目标值等相关标准研究。当前，</w:t>
      </w:r>
      <w:r>
        <w:rPr>
          <w:rFonts w:hint="eastAsia" w:ascii="Times New Roman" w:hAnsi="Times New Roman" w:eastAsia="宋体" w:cs="Times New Roman"/>
          <w:color w:val="000000" w:themeColor="text1"/>
          <w:sz w:val="24"/>
          <w:lang w:val="en-US" w:eastAsia="zh-CN"/>
          <w14:textFill>
            <w14:solidFill>
              <w14:schemeClr w14:val="tx1"/>
            </w14:solidFill>
          </w14:textFill>
        </w:rPr>
        <w:t>地浸采铀</w:t>
      </w:r>
      <w:r>
        <w:rPr>
          <w:rFonts w:hint="default" w:ascii="Times New Roman" w:hAnsi="Times New Roman" w:eastAsia="宋体" w:cs="Times New Roman"/>
          <w:color w:val="000000" w:themeColor="text1"/>
          <w:sz w:val="24"/>
          <w:lang w:val="en-US" w:eastAsia="zh-CN"/>
          <w14:textFill>
            <w14:solidFill>
              <w14:schemeClr w14:val="tx1"/>
            </w14:solidFill>
          </w14:textFill>
        </w:rPr>
        <w:t>地下水修复尚处于</w:t>
      </w:r>
      <w:r>
        <w:rPr>
          <w:rFonts w:hint="eastAsia" w:ascii="Times New Roman" w:hAnsi="Times New Roman" w:eastAsia="宋体" w:cs="Times New Roman"/>
          <w:color w:val="000000" w:themeColor="text1"/>
          <w:sz w:val="24"/>
          <w:lang w:val="en-US" w:eastAsia="zh-CN"/>
          <w14:textFill>
            <w14:solidFill>
              <w14:schemeClr w14:val="tx1"/>
            </w14:solidFill>
          </w14:textFill>
        </w:rPr>
        <w:t>起步</w:t>
      </w:r>
      <w:r>
        <w:rPr>
          <w:rFonts w:hint="default" w:ascii="Times New Roman" w:hAnsi="Times New Roman" w:eastAsia="宋体" w:cs="Times New Roman"/>
          <w:color w:val="000000" w:themeColor="text1"/>
          <w:sz w:val="24"/>
          <w:lang w:val="en-US" w:eastAsia="zh-CN"/>
          <w14:textFill>
            <w14:solidFill>
              <w14:schemeClr w14:val="tx1"/>
            </w14:solidFill>
          </w14:textFill>
        </w:rPr>
        <w:t>研究</w:t>
      </w:r>
      <w:r>
        <w:rPr>
          <w:rFonts w:hint="eastAsia" w:ascii="Times New Roman" w:hAnsi="Times New Roman" w:eastAsia="宋体" w:cs="Times New Roman"/>
          <w:color w:val="000000" w:themeColor="text1"/>
          <w:sz w:val="24"/>
          <w:lang w:val="en-US" w:eastAsia="zh-CN"/>
          <w14:textFill>
            <w14:solidFill>
              <w14:schemeClr w14:val="tx1"/>
            </w14:solidFill>
          </w14:textFill>
        </w:rPr>
        <w:t>与探索推进</w:t>
      </w:r>
      <w:r>
        <w:rPr>
          <w:rFonts w:hint="default" w:ascii="Times New Roman" w:hAnsi="Times New Roman" w:eastAsia="宋体" w:cs="Times New Roman"/>
          <w:color w:val="000000" w:themeColor="text1"/>
          <w:sz w:val="24"/>
          <w:lang w:val="en-US" w:eastAsia="zh-CN"/>
          <w14:textFill>
            <w14:solidFill>
              <w14:schemeClr w14:val="tx1"/>
            </w14:solidFill>
          </w14:textFill>
        </w:rPr>
        <w:t>阶段，缺少相关标准及规范指导。因此，亟需开展地下水修复目标确定相关标准制定，提出适用于我国</w:t>
      </w:r>
      <w:r>
        <w:rPr>
          <w:rFonts w:hint="eastAsia" w:ascii="Times New Roman" w:hAnsi="Times New Roman" w:eastAsia="宋体" w:cs="Times New Roman"/>
          <w:color w:val="000000" w:themeColor="text1"/>
          <w:sz w:val="24"/>
          <w:lang w:val="en-US" w:eastAsia="zh-CN"/>
          <w14:textFill>
            <w14:solidFill>
              <w14:schemeClr w14:val="tx1"/>
            </w14:solidFill>
          </w14:textFill>
        </w:rPr>
        <w:t>地浸采铀</w:t>
      </w:r>
      <w:r>
        <w:rPr>
          <w:rFonts w:hint="default" w:ascii="Times New Roman" w:hAnsi="Times New Roman" w:eastAsia="宋体" w:cs="Times New Roman"/>
          <w:color w:val="000000" w:themeColor="text1"/>
          <w:sz w:val="24"/>
          <w:lang w:val="en-US" w:eastAsia="zh-CN"/>
          <w14:textFill>
            <w14:solidFill>
              <w14:schemeClr w14:val="tx1"/>
            </w14:solidFill>
          </w14:textFill>
        </w:rPr>
        <w:t>的地下水修复标准和要求，指导我国</w:t>
      </w:r>
      <w:r>
        <w:rPr>
          <w:rFonts w:hint="eastAsia" w:ascii="Times New Roman" w:hAnsi="Times New Roman" w:eastAsia="宋体" w:cs="Times New Roman"/>
          <w:color w:val="000000" w:themeColor="text1"/>
          <w:sz w:val="24"/>
          <w:lang w:val="en-US" w:eastAsia="zh-CN"/>
          <w14:textFill>
            <w14:solidFill>
              <w14:schemeClr w14:val="tx1"/>
            </w14:solidFill>
          </w14:textFill>
        </w:rPr>
        <w:t>地浸采铀</w:t>
      </w:r>
      <w:r>
        <w:rPr>
          <w:rFonts w:hint="default" w:ascii="Times New Roman" w:hAnsi="Times New Roman" w:eastAsia="宋体" w:cs="Times New Roman"/>
          <w:color w:val="000000" w:themeColor="text1"/>
          <w:sz w:val="24"/>
          <w:lang w:val="en-US" w:eastAsia="zh-CN"/>
          <w14:textFill>
            <w14:solidFill>
              <w14:schemeClr w14:val="tx1"/>
            </w14:solidFill>
          </w14:textFill>
        </w:rPr>
        <w:t>地下水修复实践，保障地浸铀矿</w:t>
      </w:r>
      <w:r>
        <w:rPr>
          <w:rFonts w:hint="eastAsia" w:ascii="Times New Roman" w:hAnsi="Times New Roman" w:eastAsia="宋体" w:cs="Times New Roman"/>
          <w:color w:val="000000" w:themeColor="text1"/>
          <w:sz w:val="24"/>
          <w:lang w:val="en-US" w:eastAsia="zh-CN"/>
          <w14:textFill>
            <w14:solidFill>
              <w14:schemeClr w14:val="tx1"/>
            </w14:solidFill>
          </w14:textFill>
        </w:rPr>
        <w:t>山</w:t>
      </w:r>
      <w:r>
        <w:rPr>
          <w:rFonts w:hint="default" w:ascii="Times New Roman" w:hAnsi="Times New Roman" w:eastAsia="宋体" w:cs="Times New Roman"/>
          <w:color w:val="000000" w:themeColor="text1"/>
          <w:sz w:val="24"/>
          <w:lang w:val="en-US" w:eastAsia="zh-CN"/>
          <w14:textFill>
            <w14:solidFill>
              <w14:schemeClr w14:val="tx1"/>
            </w14:solidFill>
          </w14:textFill>
        </w:rPr>
        <w:t>退役后地下水环境的长久安全与风险可控，保护公众健康。</w:t>
      </w:r>
    </w:p>
    <w:p>
      <w:pPr>
        <w:pStyle w:val="17"/>
        <w:keepNext w:val="0"/>
        <w:keepLines w:val="0"/>
        <w:pageBreakBefore w:val="0"/>
        <w:widowControl w:val="0"/>
        <w:numPr>
          <w:ilvl w:val="0"/>
          <w:numId w:val="5"/>
        </w:numPr>
        <w:kinsoku/>
        <w:wordWrap/>
        <w:overflowPunct/>
        <w:topLinePunct w:val="0"/>
        <w:autoSpaceDE/>
        <w:autoSpaceDN/>
        <w:bidi w:val="0"/>
        <w:adjustRightInd/>
        <w:snapToGrid/>
        <w:spacing w:before="240" w:after="240" w:line="360" w:lineRule="auto"/>
        <w:ind w:left="420" w:hanging="420" w:firstLineChars="0"/>
        <w:textAlignment w:val="auto"/>
        <w:outlineLvl w:val="1"/>
        <w:rPr>
          <w:rFonts w:hint="eastAsia" w:ascii="黑体" w:hAnsi="黑体" w:eastAsia="黑体" w:cs="黑体"/>
          <w:kern w:val="0"/>
          <w:sz w:val="24"/>
          <w:szCs w:val="24"/>
          <w:lang w:val="en-US" w:eastAsia="zh-CN"/>
        </w:rPr>
      </w:pPr>
      <w:r>
        <w:rPr>
          <w:rFonts w:hint="eastAsia" w:ascii="Times New Roman" w:hAnsi="Times New Roman" w:eastAsia="宋体" w:cs="Times New Roman"/>
          <w:color w:val="000000" w:themeColor="text1"/>
          <w:sz w:val="24"/>
          <w:lang w:val="en-US" w:eastAsia="zh-CN"/>
          <w14:textFill>
            <w14:solidFill>
              <w14:schemeClr w14:val="tx1"/>
            </w14:solidFill>
          </w14:textFill>
        </w:rPr>
        <w:fldChar w:fldCharType="end"/>
      </w:r>
      <w:r>
        <w:rPr>
          <w:rFonts w:hint="default" w:ascii="黑体" w:hAnsi="黑体" w:eastAsia="黑体" w:cs="黑体"/>
          <w:kern w:val="0"/>
          <w:sz w:val="24"/>
          <w:szCs w:val="24"/>
          <w:lang w:val="en-US" w:eastAsia="zh-CN"/>
        </w:rPr>
        <w:t>主要内容</w:t>
      </w:r>
      <w:r>
        <w:rPr>
          <w:rFonts w:hint="eastAsia" w:ascii="黑体" w:hAnsi="黑体" w:eastAsia="黑体" w:cs="黑体"/>
          <w:kern w:val="0"/>
          <w:sz w:val="24"/>
          <w:szCs w:val="24"/>
          <w:lang w:val="en-US" w:eastAsia="zh-CN"/>
        </w:rPr>
        <w:t>及说明</w:t>
      </w:r>
    </w:p>
    <w:p>
      <w:pPr>
        <w:spacing w:line="360" w:lineRule="auto"/>
        <w:ind w:firstLine="480"/>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标准规定了</w:t>
      </w:r>
      <w:r>
        <w:rPr>
          <w:rFonts w:hint="eastAsia" w:ascii="Times New Roman" w:hAnsi="Times New Roman" w:eastAsia="宋体" w:cs="Times New Roman"/>
          <w:color w:val="000000" w:themeColor="text1"/>
          <w:sz w:val="24"/>
          <w:lang w:val="en-US" w:eastAsia="zh-CN"/>
          <w14:textFill>
            <w14:solidFill>
              <w14:schemeClr w14:val="tx1"/>
            </w14:solidFill>
          </w14:textFill>
        </w:rPr>
        <w:t>地浸采铀</w:t>
      </w:r>
      <w:r>
        <w:rPr>
          <w:rFonts w:hint="default" w:ascii="Times New Roman" w:hAnsi="Times New Roman" w:eastAsia="宋体" w:cs="Times New Roman"/>
          <w:color w:val="000000" w:themeColor="text1"/>
          <w:sz w:val="24"/>
          <w:lang w:val="en-US" w:eastAsia="zh-CN"/>
          <w14:textFill>
            <w14:solidFill>
              <w14:schemeClr w14:val="tx1"/>
            </w14:solidFill>
          </w14:textFill>
        </w:rPr>
        <w:t>地下水修复目标确定的基本</w:t>
      </w:r>
      <w:r>
        <w:rPr>
          <w:rFonts w:hint="eastAsia" w:ascii="Times New Roman" w:hAnsi="Times New Roman" w:eastAsia="宋体" w:cs="Times New Roman"/>
          <w:color w:val="000000" w:themeColor="text1"/>
          <w:sz w:val="24"/>
          <w:lang w:val="en-US" w:eastAsia="zh-CN"/>
          <w14:textFill>
            <w14:solidFill>
              <w14:schemeClr w14:val="tx1"/>
            </w14:solidFill>
          </w14:textFill>
        </w:rPr>
        <w:t>要求</w:t>
      </w:r>
      <w:r>
        <w:rPr>
          <w:rFonts w:hint="default" w:ascii="Times New Roman" w:hAnsi="Times New Roman" w:eastAsia="宋体" w:cs="Times New Roman"/>
          <w:color w:val="000000" w:themeColor="text1"/>
          <w:sz w:val="24"/>
          <w:lang w:val="en-US" w:eastAsia="zh-CN"/>
          <w14:textFill>
            <w14:solidFill>
              <w14:schemeClr w14:val="tx1"/>
            </w14:solidFill>
          </w14:textFill>
        </w:rPr>
        <w:t>和</w:t>
      </w:r>
      <w:r>
        <w:rPr>
          <w:rFonts w:hint="eastAsia" w:ascii="Times New Roman" w:hAnsi="Times New Roman" w:eastAsia="宋体" w:cs="Times New Roman"/>
          <w:color w:val="000000" w:themeColor="text1"/>
          <w:sz w:val="24"/>
          <w:lang w:val="en-US" w:eastAsia="zh-CN"/>
          <w14:textFill>
            <w14:solidFill>
              <w14:schemeClr w14:val="tx1"/>
            </w14:solidFill>
          </w14:textFill>
        </w:rPr>
        <w:t>具体方法，包括12个章节和2个附录。12个章节分别为范围、规范性引用文件、术语和定义、基本要求、工作程序、</w:t>
      </w:r>
      <w:bookmarkStart w:id="3" w:name="_Toc194335862"/>
      <w:r>
        <w:rPr>
          <w:rFonts w:hint="eastAsia" w:ascii="Times New Roman" w:hAnsi="Times New Roman" w:eastAsia="宋体" w:cs="Times New Roman"/>
          <w:color w:val="000000" w:themeColor="text1"/>
          <w:sz w:val="24"/>
          <w:lang w:val="en-US" w:eastAsia="zh-CN"/>
          <w14:textFill>
            <w14:solidFill>
              <w14:schemeClr w14:val="tx1"/>
            </w14:solidFill>
          </w14:textFill>
        </w:rPr>
        <w:t>源项调查、本底水平与使用功能、特征因子与修复范围、放射性特征因子修复目标值、非放射性特征因子修复目标值、</w:t>
      </w:r>
      <w:bookmarkEnd w:id="3"/>
      <w:r>
        <w:rPr>
          <w:rFonts w:hint="eastAsia" w:ascii="Times New Roman" w:hAnsi="Times New Roman" w:eastAsia="宋体" w:cs="Times New Roman"/>
          <w:color w:val="000000" w:themeColor="text1"/>
          <w:sz w:val="24"/>
          <w:lang w:val="en-US" w:eastAsia="zh-CN"/>
          <w14:textFill>
            <w14:solidFill>
              <w14:schemeClr w14:val="tx1"/>
            </w14:solidFill>
          </w14:textFill>
        </w:rPr>
        <w:t>管控目标值、代价利益优化阈值，2个附录分别为</w:t>
      </w:r>
      <w:r>
        <w:rPr>
          <w:rFonts w:hint="default" w:ascii="Times New Roman" w:hAnsi="Times New Roman" w:eastAsia="宋体" w:cs="Times New Roman"/>
          <w:color w:val="000000" w:themeColor="text1"/>
          <w:sz w:val="24"/>
          <w:lang w:val="en-US" w:eastAsia="zh-CN"/>
          <w14:textFill>
            <w14:solidFill>
              <w14:schemeClr w14:val="tx1"/>
            </w14:solidFill>
          </w14:textFill>
        </w:rPr>
        <w:t>地下水修复目标值确定工作程序图</w:t>
      </w:r>
      <w:r>
        <w:rPr>
          <w:rFonts w:hint="eastAsia" w:ascii="Times New Roman" w:hAnsi="Times New Roman" w:eastAsia="宋体" w:cs="Times New Roman"/>
          <w:color w:val="000000" w:themeColor="text1"/>
          <w:sz w:val="24"/>
          <w:lang w:val="en-US" w:eastAsia="zh-CN"/>
          <w14:textFill>
            <w14:solidFill>
              <w14:schemeClr w14:val="tx1"/>
            </w14:solidFill>
          </w14:textFill>
        </w:rPr>
        <w:t>、放射性核素可接受浓度计算推荐模型。</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标准提出了</w:t>
      </w:r>
      <w:r>
        <w:rPr>
          <w:rFonts w:hint="eastAsia" w:ascii="Times New Roman" w:hAnsi="Times New Roman" w:eastAsia="宋体" w:cs="Times New Roman"/>
          <w:color w:val="000000" w:themeColor="text1"/>
          <w:sz w:val="24"/>
          <w:lang w:val="en-US" w:eastAsia="zh-CN"/>
          <w14:textFill>
            <w14:solidFill>
              <w14:schemeClr w14:val="tx1"/>
            </w14:solidFill>
          </w14:textFill>
        </w:rPr>
        <w:t>地浸采铀</w:t>
      </w:r>
      <w:r>
        <w:rPr>
          <w:rFonts w:hint="default" w:ascii="Times New Roman" w:hAnsi="Times New Roman" w:eastAsia="宋体" w:cs="Times New Roman"/>
          <w:color w:val="000000" w:themeColor="text1"/>
          <w:sz w:val="24"/>
          <w:lang w:val="en-US" w:eastAsia="zh-CN"/>
          <w14:textFill>
            <w14:solidFill>
              <w14:schemeClr w14:val="tx1"/>
            </w14:solidFill>
          </w14:textFill>
        </w:rPr>
        <w:t>地下水修复目标值确定的总体工作程序：</w:t>
      </w:r>
      <w:r>
        <w:rPr>
          <w:rFonts w:hint="eastAsia" w:ascii="Times New Roman" w:hAnsi="Times New Roman" w:eastAsia="宋体" w:cs="Times New Roman"/>
          <w:color w:val="000000" w:themeColor="text1"/>
          <w:sz w:val="24"/>
          <w:lang w:val="en-US" w:eastAsia="zh-CN"/>
          <w14:textFill>
            <w14:solidFill>
              <w14:schemeClr w14:val="tx1"/>
            </w14:solidFill>
          </w14:textFill>
        </w:rPr>
        <w:t>开展地下水本底调查、</w:t>
      </w:r>
      <w:r>
        <w:rPr>
          <w:rFonts w:hint="default" w:ascii="Times New Roman" w:hAnsi="Times New Roman" w:eastAsia="宋体" w:cs="Times New Roman"/>
          <w:color w:val="000000" w:themeColor="text1"/>
          <w:sz w:val="24"/>
          <w:lang w:val="en-US" w:eastAsia="zh-CN"/>
          <w14:textFill>
            <w14:solidFill>
              <w14:schemeClr w14:val="tx1"/>
            </w14:solidFill>
          </w14:textFill>
        </w:rPr>
        <w:t>源项调查</w:t>
      </w:r>
      <w:r>
        <w:rPr>
          <w:rFonts w:hint="eastAsia" w:ascii="Times New Roman" w:hAnsi="Times New Roman" w:eastAsia="宋体" w:cs="Times New Roman"/>
          <w:color w:val="000000" w:themeColor="text1"/>
          <w:sz w:val="24"/>
          <w:lang w:val="en-US" w:eastAsia="zh-CN"/>
          <w14:textFill>
            <w14:solidFill>
              <w14:schemeClr w14:val="tx1"/>
            </w14:solidFill>
          </w14:textFill>
        </w:rPr>
        <w:t>及使用功能调查，确定</w:t>
      </w:r>
      <w:r>
        <w:rPr>
          <w:rFonts w:hint="default" w:ascii="Times New Roman" w:hAnsi="Times New Roman" w:eastAsia="宋体" w:cs="Times New Roman"/>
          <w:color w:val="000000" w:themeColor="text1"/>
          <w:sz w:val="24"/>
          <w:lang w:val="en-US" w:eastAsia="zh-CN"/>
          <w14:textFill>
            <w14:solidFill>
              <w14:schemeClr w14:val="tx1"/>
            </w14:solidFill>
          </w14:textFill>
        </w:rPr>
        <w:t>地下水</w:t>
      </w:r>
      <w:r>
        <w:rPr>
          <w:rFonts w:hint="eastAsia" w:ascii="Times New Roman" w:hAnsi="Times New Roman" w:eastAsia="宋体" w:cs="Times New Roman"/>
          <w:color w:val="000000" w:themeColor="text1"/>
          <w:sz w:val="24"/>
          <w:lang w:val="en-US" w:eastAsia="zh-CN"/>
          <w14:textFill>
            <w14:solidFill>
              <w14:schemeClr w14:val="tx1"/>
            </w14:solidFill>
          </w14:textFill>
        </w:rPr>
        <w:t>本底水平、</w:t>
      </w:r>
      <w:r>
        <w:rPr>
          <w:rFonts w:hint="default" w:ascii="Times New Roman" w:hAnsi="Times New Roman" w:eastAsia="宋体" w:cs="Times New Roman"/>
          <w:color w:val="000000" w:themeColor="text1"/>
          <w:sz w:val="24"/>
          <w:lang w:val="en-US" w:eastAsia="zh-CN"/>
          <w14:textFill>
            <w14:solidFill>
              <w14:schemeClr w14:val="tx1"/>
            </w14:solidFill>
          </w14:textFill>
        </w:rPr>
        <w:t>特征因子</w:t>
      </w:r>
      <w:r>
        <w:rPr>
          <w:rFonts w:hint="eastAsia" w:ascii="Times New Roman" w:hAnsi="Times New Roman" w:eastAsia="宋体" w:cs="Times New Roman"/>
          <w:color w:val="000000" w:themeColor="text1"/>
          <w:sz w:val="24"/>
          <w:lang w:val="en-US" w:eastAsia="zh-CN"/>
          <w14:textFill>
            <w14:solidFill>
              <w14:schemeClr w14:val="tx1"/>
            </w14:solidFill>
          </w14:textFill>
        </w:rPr>
        <w:t>、修复范围及使用功能。</w:t>
      </w:r>
      <w:r>
        <w:rPr>
          <w:rFonts w:hint="default" w:ascii="Times New Roman" w:hAnsi="Times New Roman" w:eastAsia="宋体" w:cs="Times New Roman"/>
          <w:color w:val="000000" w:themeColor="text1"/>
          <w:sz w:val="24"/>
          <w:lang w:val="en-US" w:eastAsia="zh-CN"/>
          <w14:textFill>
            <w14:solidFill>
              <w14:schemeClr w14:val="tx1"/>
            </w14:solidFill>
          </w14:textFill>
        </w:rPr>
        <w:t>根据地下水使用功能判定情况，分别给出地下水修复目标值。对于放射性特征因子，地下水使用功能涉及生活饮用水的，执行GB</w:t>
      </w:r>
      <w:r>
        <w:rPr>
          <w:rFonts w:hint="eastAsia" w:ascii="Times New Roman" w:hAnsi="Times New Roman" w:eastAsia="宋体" w:cs="Times New Roman"/>
          <w:color w:val="000000" w:themeColor="text1"/>
          <w:sz w:val="24"/>
          <w:lang w:val="en-US" w:eastAsia="zh-CN"/>
          <w14:textFill>
            <w14:solidFill>
              <w14:schemeClr w14:val="tx1"/>
            </w14:solidFill>
          </w14:textFill>
        </w:rPr>
        <w:t>5749</w:t>
      </w:r>
      <w:r>
        <w:rPr>
          <w:rFonts w:hint="default" w:ascii="Times New Roman" w:hAnsi="Times New Roman" w:eastAsia="宋体" w:cs="Times New Roman"/>
          <w:color w:val="000000" w:themeColor="text1"/>
          <w:sz w:val="24"/>
          <w:lang w:val="en-US" w:eastAsia="zh-CN"/>
          <w14:textFill>
            <w14:solidFill>
              <w14:schemeClr w14:val="tx1"/>
            </w14:solidFill>
          </w14:textFill>
        </w:rPr>
        <w:t>限值要求；涉及工农业用水的，基于人体健康风险阈值，通过模型计算推导给出</w:t>
      </w:r>
      <w:r>
        <w:rPr>
          <w:rFonts w:hint="default" w:ascii="Times New Roman" w:hAnsi="Times New Roman" w:eastAsia="宋体" w:cs="Times New Roman"/>
          <w:color w:val="000000" w:themeColor="text1"/>
          <w:sz w:val="24"/>
          <w:lang w:val="zh-CN" w:eastAsia="zh-CN"/>
          <w14:textFill>
            <w14:solidFill>
              <w14:schemeClr w14:val="tx1"/>
            </w14:solidFill>
          </w14:textFill>
        </w:rPr>
        <w:t>修复目标值。</w:t>
      </w:r>
      <w:r>
        <w:rPr>
          <w:rFonts w:hint="default" w:ascii="Times New Roman" w:hAnsi="Times New Roman" w:eastAsia="宋体" w:cs="Times New Roman"/>
          <w:color w:val="000000" w:themeColor="text1"/>
          <w:sz w:val="24"/>
          <w:lang w:val="en-US" w:eastAsia="zh-CN"/>
          <w14:textFill>
            <w14:solidFill>
              <w14:schemeClr w14:val="tx1"/>
            </w14:solidFill>
          </w14:textFill>
        </w:rPr>
        <w:t>对于非放射性特征因子，地下水使用功能涉及生活饮用水</w:t>
      </w:r>
      <w:r>
        <w:rPr>
          <w:rFonts w:hint="eastAsia" w:ascii="Times New Roman" w:hAnsi="Times New Roman" w:eastAsia="宋体" w:cs="Times New Roman"/>
          <w:color w:val="000000" w:themeColor="text1"/>
          <w:sz w:val="24"/>
          <w:lang w:val="en-US" w:eastAsia="zh-CN"/>
          <w14:textFill>
            <w14:solidFill>
              <w14:schemeClr w14:val="tx1"/>
            </w14:solidFill>
          </w14:textFill>
        </w:rPr>
        <w:t>的，</w:t>
      </w:r>
      <w:r>
        <w:rPr>
          <w:rFonts w:hint="default" w:ascii="Times New Roman" w:hAnsi="Times New Roman" w:eastAsia="宋体" w:cs="Times New Roman"/>
          <w:color w:val="000000" w:themeColor="text1"/>
          <w:sz w:val="24"/>
          <w:lang w:val="en-US" w:eastAsia="zh-CN"/>
          <w14:textFill>
            <w14:solidFill>
              <w14:schemeClr w14:val="tx1"/>
            </w14:solidFill>
          </w14:textFill>
        </w:rPr>
        <w:t>执行GB</w:t>
      </w:r>
      <w:r>
        <w:rPr>
          <w:rFonts w:hint="eastAsia" w:ascii="Times New Roman" w:hAnsi="Times New Roman" w:eastAsia="宋体" w:cs="Times New Roman"/>
          <w:color w:val="000000" w:themeColor="text1"/>
          <w:sz w:val="24"/>
          <w:lang w:val="en-US" w:eastAsia="zh-CN"/>
          <w14:textFill>
            <w14:solidFill>
              <w14:schemeClr w14:val="tx1"/>
            </w14:solidFill>
          </w14:textFill>
        </w:rPr>
        <w:t>5749</w:t>
      </w:r>
      <w:r>
        <w:rPr>
          <w:rFonts w:hint="default" w:ascii="Times New Roman" w:hAnsi="Times New Roman" w:eastAsia="宋体" w:cs="Times New Roman"/>
          <w:color w:val="000000" w:themeColor="text1"/>
          <w:sz w:val="24"/>
          <w:lang w:val="en-US" w:eastAsia="zh-CN"/>
          <w14:textFill>
            <w14:solidFill>
              <w14:schemeClr w14:val="tx1"/>
            </w14:solidFill>
          </w14:textFill>
        </w:rPr>
        <w:t>限值要求；涉及工农业用水的，执行GB/T14848中Ⅳ类限值要求。</w:t>
      </w:r>
      <w:r>
        <w:rPr>
          <w:rFonts w:hint="eastAsia" w:ascii="Times New Roman" w:hAnsi="Times New Roman" w:eastAsia="宋体" w:cs="Times New Roman"/>
          <w:color w:val="000000" w:themeColor="text1"/>
          <w:sz w:val="24"/>
          <w:lang w:val="en-US" w:eastAsia="zh-CN"/>
          <w14:textFill>
            <w14:solidFill>
              <w14:schemeClr w14:val="tx1"/>
            </w14:solidFill>
          </w14:textFill>
        </w:rPr>
        <w:t>预测</w:t>
      </w:r>
      <w:r>
        <w:rPr>
          <w:rFonts w:hint="default" w:ascii="Times New Roman" w:hAnsi="Times New Roman" w:eastAsia="宋体" w:cs="Times New Roman"/>
          <w:color w:val="000000" w:themeColor="text1"/>
          <w:sz w:val="24"/>
          <w:lang w:val="zh-CN" w:eastAsia="zh-CN"/>
          <w14:textFill>
            <w14:solidFill>
              <w14:schemeClr w14:val="tx1"/>
            </w14:solidFill>
          </w14:textFill>
        </w:rPr>
        <w:t>地下水修复无法满足修复目标值要求</w:t>
      </w:r>
      <w:r>
        <w:rPr>
          <w:rFonts w:hint="eastAsia" w:ascii="Times New Roman" w:hAnsi="Times New Roman" w:eastAsia="宋体" w:cs="Times New Roman"/>
          <w:color w:val="000000" w:themeColor="text1"/>
          <w:sz w:val="24"/>
          <w:lang w:val="en-US" w:eastAsia="zh-CN"/>
          <w14:textFill>
            <w14:solidFill>
              <w14:schemeClr w14:val="tx1"/>
            </w14:solidFill>
          </w14:textFill>
        </w:rPr>
        <w:t>的，结合水文地质特征，</w:t>
      </w:r>
      <w:r>
        <w:rPr>
          <w:rFonts w:hint="default" w:ascii="Times New Roman" w:hAnsi="Times New Roman" w:eastAsia="宋体" w:cs="Times New Roman"/>
          <w:color w:val="000000" w:themeColor="text1"/>
          <w:sz w:val="24"/>
          <w:lang w:val="zh-CN" w:eastAsia="zh-CN"/>
          <w14:textFill>
            <w14:solidFill>
              <w14:schemeClr w14:val="tx1"/>
            </w14:solidFill>
          </w14:textFill>
        </w:rPr>
        <w:t>通过</w:t>
      </w:r>
      <w:r>
        <w:rPr>
          <w:rFonts w:hint="eastAsia" w:ascii="Times New Roman" w:hAnsi="Times New Roman" w:eastAsia="宋体" w:cs="Times New Roman"/>
          <w:color w:val="000000" w:themeColor="text1"/>
          <w:sz w:val="24"/>
          <w:lang w:val="en-US" w:eastAsia="zh-CN"/>
          <w14:textFill>
            <w14:solidFill>
              <w14:schemeClr w14:val="tx1"/>
            </w14:solidFill>
          </w14:textFill>
        </w:rPr>
        <w:t>溶质运移模型</w:t>
      </w:r>
      <w:r>
        <w:rPr>
          <w:rFonts w:hint="default" w:ascii="Times New Roman" w:hAnsi="Times New Roman" w:eastAsia="宋体" w:cs="Times New Roman"/>
          <w:color w:val="000000" w:themeColor="text1"/>
          <w:sz w:val="24"/>
          <w:lang w:val="en-US" w:eastAsia="zh-CN"/>
          <w14:textFill>
            <w14:solidFill>
              <w14:schemeClr w14:val="tx1"/>
            </w14:solidFill>
          </w14:textFill>
        </w:rPr>
        <w:t>给出</w:t>
      </w:r>
      <w:r>
        <w:rPr>
          <w:rFonts w:hint="default" w:ascii="Times New Roman" w:hAnsi="Times New Roman" w:eastAsia="宋体" w:cs="Times New Roman"/>
          <w:color w:val="000000" w:themeColor="text1"/>
          <w:sz w:val="24"/>
          <w:lang w:val="zh-CN" w:eastAsia="zh-CN"/>
          <w14:textFill>
            <w14:solidFill>
              <w14:schemeClr w14:val="tx1"/>
            </w14:solidFill>
          </w14:textFill>
        </w:rPr>
        <w:t>地下水</w:t>
      </w:r>
      <w:r>
        <w:rPr>
          <w:rFonts w:hint="default" w:ascii="Times New Roman" w:hAnsi="Times New Roman" w:eastAsia="宋体" w:cs="Times New Roman"/>
          <w:color w:val="000000" w:themeColor="text1"/>
          <w:sz w:val="24"/>
          <w:lang w:val="en-US" w:eastAsia="zh-CN"/>
          <w14:textFill>
            <w14:solidFill>
              <w14:schemeClr w14:val="tx1"/>
            </w14:solidFill>
          </w14:textFill>
        </w:rPr>
        <w:t>修复</w:t>
      </w:r>
      <w:r>
        <w:rPr>
          <w:rFonts w:hint="eastAsia" w:ascii="Times New Roman" w:hAnsi="Times New Roman" w:eastAsia="宋体" w:cs="Times New Roman"/>
          <w:color w:val="000000" w:themeColor="text1"/>
          <w:sz w:val="24"/>
          <w:lang w:val="en-US" w:eastAsia="zh-CN"/>
          <w14:textFill>
            <w14:solidFill>
              <w14:schemeClr w14:val="tx1"/>
            </w14:solidFill>
          </w14:textFill>
        </w:rPr>
        <w:t>管控</w:t>
      </w:r>
      <w:r>
        <w:rPr>
          <w:rFonts w:hint="eastAsia" w:ascii="Times New Roman" w:hAnsi="Times New Roman" w:eastAsia="宋体" w:cs="Times New Roman"/>
          <w:color w:val="000000" w:themeColor="text1"/>
          <w:sz w:val="24"/>
          <w:lang w:val="zh-CN" w:eastAsia="zh-CN"/>
          <w14:textFill>
            <w14:solidFill>
              <w14:schemeClr w14:val="tx1"/>
            </w14:solidFill>
          </w14:textFill>
        </w:rPr>
        <w:t>目标值。</w:t>
      </w:r>
      <w:r>
        <w:rPr>
          <w:rFonts w:hint="default" w:ascii="Times New Roman" w:hAnsi="Times New Roman" w:eastAsia="宋体" w:cs="Times New Roman"/>
          <w:color w:val="000000" w:themeColor="text1"/>
          <w:sz w:val="24"/>
          <w:lang w:val="en-US" w:eastAsia="zh-CN"/>
          <w14:textFill>
            <w14:solidFill>
              <w14:schemeClr w14:val="tx1"/>
            </w14:solidFill>
          </w14:textFill>
        </w:rPr>
        <w:t>工作程序见图1</w:t>
      </w:r>
      <w:r>
        <w:rPr>
          <w:rFonts w:hint="eastAsia" w:ascii="Times New Roman" w:hAnsi="Times New Roman" w:eastAsia="宋体" w:cs="Times New Roman"/>
          <w:color w:val="000000" w:themeColor="text1"/>
          <w:sz w:val="24"/>
          <w:lang w:val="en-US" w:eastAsia="zh-CN"/>
          <w14:textFill>
            <w14:solidFill>
              <w14:schemeClr w14:val="tx1"/>
            </w14:solidFill>
          </w14:textFill>
        </w:rPr>
        <w:t>。</w:t>
      </w: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bookmarkStart w:id="4" w:name="_Hlk144827092"/>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pPr>
      <w:r>
        <w:object>
          <v:shape id="_x0000_i1025" o:spt="75" alt="" type="#_x0000_t75" style="height:511.1pt;width:432.2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19"/>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bCs/>
          <w:color w:val="auto"/>
          <w:kern w:val="2"/>
          <w:sz w:val="24"/>
          <w:szCs w:val="24"/>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eastAsia="宋体" w:cs="Times New Roman"/>
          <w:bCs/>
          <w:color w:val="auto"/>
          <w:kern w:val="2"/>
          <w:sz w:val="24"/>
          <w:szCs w:val="24"/>
          <w:lang w:val="en-US" w:eastAsia="zh-CN"/>
        </w:rPr>
        <w:t xml:space="preserve">图1 </w:t>
      </w:r>
      <w:r>
        <w:rPr>
          <w:rFonts w:hint="eastAsia" w:ascii="Times New Roman" w:hAnsi="Times New Roman" w:eastAsia="宋体" w:cs="Times New Roman"/>
          <w:bCs/>
          <w:color w:val="auto"/>
          <w:kern w:val="2"/>
          <w:sz w:val="24"/>
          <w:szCs w:val="24"/>
          <w:lang w:val="en-US" w:eastAsia="zh-CN"/>
        </w:rPr>
        <w:t xml:space="preserve"> </w:t>
      </w:r>
      <w:r>
        <w:rPr>
          <w:rFonts w:hint="default" w:ascii="Times New Roman" w:hAnsi="Times New Roman" w:eastAsia="宋体" w:cs="Times New Roman"/>
          <w:bCs/>
          <w:color w:val="auto"/>
          <w:kern w:val="2"/>
          <w:sz w:val="24"/>
          <w:szCs w:val="24"/>
          <w:lang w:val="en-US" w:eastAsia="zh-CN"/>
        </w:rPr>
        <w:t>工作程序图</w:t>
      </w:r>
      <w:bookmarkEnd w:id="4"/>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hint="default" w:ascii="黑体" w:hAnsi="黑体" w:eastAsia="黑体"/>
          <w:kern w:val="0"/>
          <w:sz w:val="24"/>
          <w:lang w:val="en-US" w:eastAsia="zh-CN"/>
        </w:rPr>
      </w:pPr>
      <w:bookmarkStart w:id="5" w:name="OLE_LINK3"/>
      <w:r>
        <w:rPr>
          <w:rFonts w:hint="eastAsia" w:ascii="黑体" w:hAnsi="黑体" w:eastAsia="黑体"/>
          <w:kern w:val="0"/>
          <w:sz w:val="24"/>
          <w:lang w:val="en-US" w:eastAsia="zh-CN"/>
        </w:rPr>
        <w:t>2</w:t>
      </w:r>
      <w:r>
        <w:rPr>
          <w:rFonts w:hint="eastAsia" w:ascii="黑体" w:hAnsi="黑体" w:eastAsia="黑体"/>
          <w:kern w:val="0"/>
          <w:sz w:val="24"/>
        </w:rPr>
        <w:t>.1</w:t>
      </w:r>
      <w:r>
        <w:rPr>
          <w:rFonts w:hint="eastAsia" w:ascii="Times New Roman" w:hAnsi="Times New Roman" w:eastAsia="宋体" w:cs="Times New Roman"/>
          <w:kern w:val="0"/>
          <w:sz w:val="24"/>
          <w:szCs w:val="20"/>
          <w:lang w:val="en-US" w:eastAsia="zh-CN" w:bidi="ar-SA"/>
        </w:rPr>
        <w:t xml:space="preserve"> </w:t>
      </w:r>
      <w:r>
        <w:rPr>
          <w:rFonts w:hint="eastAsia" w:ascii="黑体" w:hAnsi="黑体" w:eastAsia="黑体"/>
          <w:kern w:val="0"/>
          <w:sz w:val="24"/>
          <w:lang w:val="en-US" w:eastAsia="zh-CN"/>
        </w:rPr>
        <w:t>基本要求</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黑体" w:hAnsi="黑体" w:eastAsia="黑体"/>
          <w:kern w:val="0"/>
          <w:sz w:val="24"/>
          <w:lang w:val="en-US" w:eastAsia="zh-CN"/>
        </w:rPr>
      </w:pPr>
      <w:r>
        <w:rPr>
          <w:rFonts w:hint="eastAsia" w:ascii="黑体" w:hAnsi="黑体" w:eastAsia="黑体"/>
          <w:kern w:val="0"/>
          <w:sz w:val="24"/>
          <w:lang w:val="en-US" w:eastAsia="zh-CN"/>
        </w:rPr>
        <w:t xml:space="preserve">2.1.1 </w:t>
      </w:r>
      <w:r>
        <w:rPr>
          <w:rFonts w:hint="default" w:ascii="黑体" w:hAnsi="黑体" w:eastAsia="黑体"/>
          <w:kern w:val="0"/>
          <w:sz w:val="24"/>
          <w:lang w:val="en-US" w:eastAsia="zh-CN"/>
        </w:rPr>
        <w:t>一矿一策</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default" w:ascii="Times New Roman" w:hAnsi="Times New Roman" w:eastAsia="宋体" w:cs="Times New Roman"/>
          <w:color w:val="000000" w:themeColor="text1"/>
          <w:sz w:val="24"/>
          <w:lang w:val="en-US" w:eastAsia="zh-CN"/>
          <w14:textFill>
            <w14:solidFill>
              <w14:schemeClr w14:val="tx1"/>
            </w14:solidFill>
          </w14:textFill>
        </w:rPr>
        <w:t>习近平总书记在全国生态环境保护大会上指出，要正确处理自然</w:t>
      </w:r>
      <w:bookmarkEnd w:id="5"/>
      <w:r>
        <w:rPr>
          <w:rFonts w:hint="default" w:ascii="Times New Roman" w:hAnsi="Times New Roman" w:eastAsia="宋体" w:cs="Times New Roman"/>
          <w:color w:val="000000" w:themeColor="text1"/>
          <w:sz w:val="24"/>
          <w:lang w:val="en-US" w:eastAsia="zh-CN"/>
          <w14:textFill>
            <w14:solidFill>
              <w14:schemeClr w14:val="tx1"/>
            </w14:solidFill>
          </w14:textFill>
        </w:rPr>
        <w:t>恢复和人工修复的关系，综合运用自然恢复和人工修复两种手段，因地因时制宜、分区分类施策，努力找到生态保护修复的最佳解决方案。</w:t>
      </w:r>
      <w:r>
        <w:rPr>
          <w:rFonts w:hint="default" w:ascii="Times New Roman" w:hAnsi="Times New Roman" w:eastAsia="宋体" w:cs="Times New Roman"/>
          <w:color w:val="000000" w:themeColor="text1"/>
          <w:sz w:val="24"/>
          <w:lang w:val="zh-CN" w:eastAsia="zh-CN"/>
          <w14:textFill>
            <w14:solidFill>
              <w14:schemeClr w14:val="tx1"/>
            </w14:solidFill>
          </w14:textFill>
        </w:rPr>
        <w:t>结合常规矿山生态修复</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一矿一策</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原则，地浸铀矿山</w:t>
      </w:r>
      <w:r>
        <w:rPr>
          <w:rFonts w:hint="eastAsia" w:ascii="Times New Roman" w:hAnsi="Times New Roman" w:eastAsia="宋体" w:cs="Times New Roman"/>
          <w:color w:val="000000" w:themeColor="text1"/>
          <w:sz w:val="24"/>
          <w:lang w:val="en-US" w:eastAsia="zh-CN"/>
          <w14:textFill>
            <w14:solidFill>
              <w14:schemeClr w14:val="tx1"/>
            </w14:solidFill>
          </w14:textFill>
        </w:rPr>
        <w:t>地下水修复应</w:t>
      </w:r>
      <w:r>
        <w:rPr>
          <w:rFonts w:hint="default" w:ascii="Times New Roman" w:hAnsi="Times New Roman" w:eastAsia="宋体" w:cs="Times New Roman"/>
          <w:color w:val="000000" w:themeColor="text1"/>
          <w:sz w:val="24"/>
          <w:lang w:val="en-US" w:eastAsia="zh-CN"/>
          <w14:textFill>
            <w14:solidFill>
              <w14:schemeClr w14:val="tx1"/>
            </w14:solidFill>
          </w14:textFill>
        </w:rPr>
        <w:t>根据</w:t>
      </w:r>
      <w:r>
        <w:rPr>
          <w:rFonts w:hint="eastAsia" w:ascii="Times New Roman" w:hAnsi="Times New Roman" w:eastAsia="宋体" w:cs="Times New Roman"/>
          <w:color w:val="000000" w:themeColor="text1"/>
          <w:sz w:val="24"/>
          <w:lang w:val="en-US" w:eastAsia="zh-CN"/>
          <w14:textFill>
            <w14:solidFill>
              <w14:schemeClr w14:val="tx1"/>
            </w14:solidFill>
          </w14:textFill>
        </w:rPr>
        <w:t>开采工艺</w:t>
      </w:r>
      <w:r>
        <w:rPr>
          <w:rFonts w:hint="default" w:ascii="Times New Roman" w:hAnsi="Times New Roman" w:eastAsia="宋体" w:cs="Times New Roman"/>
          <w:color w:val="000000" w:themeColor="text1"/>
          <w:sz w:val="24"/>
          <w:lang w:val="zh-CN" w:eastAsia="zh-CN"/>
          <w14:textFill>
            <w14:solidFill>
              <w14:schemeClr w14:val="tx1"/>
            </w14:solidFill>
          </w14:textFill>
        </w:rPr>
        <w:t>、水文地质</w:t>
      </w:r>
      <w:r>
        <w:rPr>
          <w:rFonts w:hint="eastAsia" w:ascii="Times New Roman" w:hAnsi="Times New Roman" w:eastAsia="宋体" w:cs="Times New Roman"/>
          <w:color w:val="000000" w:themeColor="text1"/>
          <w:sz w:val="24"/>
          <w:lang w:val="en-US" w:eastAsia="zh-CN"/>
          <w14:textFill>
            <w14:solidFill>
              <w14:schemeClr w14:val="tx1"/>
            </w14:solidFill>
          </w14:textFill>
        </w:rPr>
        <w:t>条件</w:t>
      </w:r>
      <w:r>
        <w:rPr>
          <w:rFonts w:hint="default" w:ascii="Times New Roman" w:hAnsi="Times New Roman" w:eastAsia="宋体" w:cs="Times New Roman"/>
          <w:color w:val="000000" w:themeColor="text1"/>
          <w:sz w:val="24"/>
          <w:lang w:val="zh-CN" w:eastAsia="zh-CN"/>
          <w14:textFill>
            <w14:solidFill>
              <w14:schemeClr w14:val="tx1"/>
            </w14:solidFill>
          </w14:textFill>
        </w:rPr>
        <w:t>、地下水</w:t>
      </w:r>
      <w:r>
        <w:rPr>
          <w:rFonts w:hint="eastAsia" w:ascii="Times New Roman" w:hAnsi="Times New Roman" w:eastAsia="宋体" w:cs="Times New Roman"/>
          <w:color w:val="000000" w:themeColor="text1"/>
          <w:sz w:val="24"/>
          <w:lang w:val="en-US" w:eastAsia="zh-CN"/>
          <w14:textFill>
            <w14:solidFill>
              <w14:schemeClr w14:val="tx1"/>
            </w14:solidFill>
          </w14:textFill>
        </w:rPr>
        <w:t>使用功能</w:t>
      </w:r>
      <w:r>
        <w:rPr>
          <w:rFonts w:hint="default" w:ascii="Times New Roman" w:hAnsi="Times New Roman" w:eastAsia="宋体" w:cs="Times New Roman"/>
          <w:color w:val="000000" w:themeColor="text1"/>
          <w:sz w:val="24"/>
          <w:lang w:val="zh-CN" w:eastAsia="zh-CN"/>
          <w14:textFill>
            <w14:solidFill>
              <w14:schemeClr w14:val="tx1"/>
            </w14:solidFill>
          </w14:textFill>
        </w:rPr>
        <w:t>、区域环境要求、地下水环境影响程度等差异，</w:t>
      </w:r>
      <w:r>
        <w:rPr>
          <w:rFonts w:hint="eastAsia" w:ascii="Times New Roman" w:hAnsi="Times New Roman" w:eastAsia="宋体" w:cs="Times New Roman"/>
          <w:color w:val="000000" w:themeColor="text1"/>
          <w:sz w:val="24"/>
          <w:lang w:val="en-US" w:eastAsia="zh-CN"/>
          <w14:textFill>
            <w14:solidFill>
              <w14:schemeClr w14:val="tx1"/>
            </w14:solidFill>
          </w14:textFill>
        </w:rPr>
        <w:t>在合理可行的</w:t>
      </w:r>
      <w:r>
        <w:rPr>
          <w:rFonts w:hint="default" w:ascii="Times New Roman" w:hAnsi="Times New Roman" w:eastAsia="宋体" w:cs="Times New Roman"/>
          <w:color w:val="000000" w:themeColor="text1"/>
          <w:sz w:val="24"/>
          <w:lang w:val="zh-CN" w:eastAsia="zh-CN"/>
          <w14:textFill>
            <w14:solidFill>
              <w14:schemeClr w14:val="tx1"/>
            </w14:solidFill>
          </w14:textFill>
        </w:rPr>
        <w:t>技术经济</w:t>
      </w:r>
      <w:r>
        <w:rPr>
          <w:rFonts w:hint="eastAsia" w:ascii="Times New Roman" w:hAnsi="Times New Roman" w:eastAsia="宋体" w:cs="Times New Roman"/>
          <w:color w:val="000000" w:themeColor="text1"/>
          <w:sz w:val="24"/>
          <w:lang w:val="en-US" w:eastAsia="zh-CN"/>
          <w14:textFill>
            <w14:solidFill>
              <w14:schemeClr w14:val="tx1"/>
            </w14:solidFill>
          </w14:textFill>
        </w:rPr>
        <w:t>水平下</w:t>
      </w:r>
      <w:r>
        <w:rPr>
          <w:rFonts w:hint="default" w:ascii="Times New Roman" w:hAnsi="Times New Roman" w:eastAsia="宋体" w:cs="Times New Roman"/>
          <w:color w:val="000000" w:themeColor="text1"/>
          <w:sz w:val="24"/>
          <w:lang w:val="zh-CN" w:eastAsia="zh-CN"/>
          <w14:textFill>
            <w14:solidFill>
              <w14:schemeClr w14:val="tx1"/>
            </w14:solidFill>
          </w14:textFill>
        </w:rPr>
        <w:t>，量身定制精准</w:t>
      </w:r>
      <w:r>
        <w:rPr>
          <w:rFonts w:hint="default" w:ascii="Times New Roman" w:hAnsi="Times New Roman" w:eastAsia="宋体" w:cs="Times New Roman"/>
          <w:color w:val="000000" w:themeColor="text1"/>
          <w:sz w:val="24"/>
          <w:lang w:val="en-US" w:eastAsia="zh-CN"/>
          <w14:textFill>
            <w14:solidFill>
              <w14:schemeClr w14:val="tx1"/>
            </w14:solidFill>
          </w14:textFill>
        </w:rPr>
        <w:t>科学的</w:t>
      </w:r>
      <w:r>
        <w:rPr>
          <w:rFonts w:hint="default" w:ascii="Times New Roman" w:hAnsi="Times New Roman" w:eastAsia="宋体" w:cs="Times New Roman"/>
          <w:color w:val="000000" w:themeColor="text1"/>
          <w:sz w:val="24"/>
          <w:lang w:val="zh-CN" w:eastAsia="zh-CN"/>
          <w14:textFill>
            <w14:solidFill>
              <w14:schemeClr w14:val="tx1"/>
            </w14:solidFill>
          </w14:textFill>
        </w:rPr>
        <w:t>修复</w:t>
      </w:r>
      <w:r>
        <w:rPr>
          <w:rFonts w:hint="eastAsia" w:ascii="Times New Roman" w:hAnsi="Times New Roman" w:eastAsia="宋体" w:cs="Times New Roman"/>
          <w:color w:val="000000" w:themeColor="text1"/>
          <w:sz w:val="24"/>
          <w:lang w:val="en-US" w:eastAsia="zh-CN"/>
          <w14:textFill>
            <w14:solidFill>
              <w14:schemeClr w14:val="tx1"/>
            </w14:solidFill>
          </w14:textFill>
        </w:rPr>
        <w:t>目标与修复方案</w:t>
      </w:r>
      <w:r>
        <w:rPr>
          <w:rFonts w:hint="default" w:ascii="Times New Roman" w:hAnsi="Times New Roman" w:eastAsia="宋体" w:cs="Times New Roman"/>
          <w:color w:val="000000" w:themeColor="text1"/>
          <w:sz w:val="24"/>
          <w:lang w:val="zh-CN" w:eastAsia="zh-CN"/>
          <w14:textFill>
            <w14:solidFill>
              <w14:schemeClr w14:val="tx1"/>
            </w14:solidFill>
          </w14:textFill>
        </w:rPr>
        <w:t>，实现地下水</w:t>
      </w:r>
      <w:r>
        <w:rPr>
          <w:rFonts w:hint="eastAsia" w:ascii="Times New Roman" w:hAnsi="Times New Roman" w:eastAsia="宋体" w:cs="Times New Roman"/>
          <w:color w:val="000000" w:themeColor="text1"/>
          <w:sz w:val="24"/>
          <w:lang w:val="en-US" w:eastAsia="zh-CN"/>
          <w14:textFill>
            <w14:solidFill>
              <w14:schemeClr w14:val="tx1"/>
            </w14:solidFill>
          </w14:textFill>
        </w:rPr>
        <w:t>修复</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生态安全保障</w:t>
      </w:r>
      <w:r>
        <w:rPr>
          <w:rFonts w:hint="eastAsia" w:ascii="Times New Roman" w:hAnsi="Times New Roman" w:eastAsia="宋体" w:cs="Times New Roman"/>
          <w:color w:val="000000" w:themeColor="text1"/>
          <w:sz w:val="24"/>
          <w:lang w:val="en-US" w:eastAsia="zh-CN"/>
          <w14:textFill>
            <w14:solidFill>
              <w14:schemeClr w14:val="tx1"/>
            </w14:solidFill>
          </w14:textFill>
        </w:rPr>
        <w:t>与行业高质量发展</w:t>
      </w:r>
      <w:r>
        <w:rPr>
          <w:rFonts w:hint="default" w:ascii="Times New Roman" w:hAnsi="Times New Roman" w:eastAsia="宋体" w:cs="Times New Roman"/>
          <w:color w:val="000000" w:themeColor="text1"/>
          <w:sz w:val="24"/>
          <w:lang w:val="zh-CN" w:eastAsia="zh-CN"/>
          <w14:textFill>
            <w14:solidFill>
              <w14:schemeClr w14:val="tx1"/>
            </w14:solidFill>
          </w14:textFill>
        </w:rPr>
        <w:t>的统一。</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default" w:ascii="Times New Roman" w:hAnsi="Times New Roman" w:eastAsia="宋体" w:cs="Times New Roman"/>
          <w:color w:val="000000" w:themeColor="text1"/>
          <w:sz w:val="24"/>
          <w:lang w:val="zh-CN" w:eastAsia="zh-CN"/>
          <w14:textFill>
            <w14:solidFill>
              <w14:schemeClr w14:val="tx1"/>
            </w14:solidFill>
          </w14:textFill>
        </w:rPr>
        <w:t>《山水林田湖草生态保护修复工程指南（试行）》（自然资办发﹝2020﹞38号）和《矿山生态修复技术规范 第1部分：通则》（TD/T1070.1-2022），均将生态修复分为生态重建、辅助再生和自然恢复三类。生态重建指对因自然灾害或人为破坏导致生态功能受损、生态系统自我恢复能力丧失或发生不可逆变化，以人工措施为主，通过生物、物理、化学、生态或工程技术方法，围绕修复生境、恢复植被、生活多样性重组等过程，重构生态系统并使生态系统进入良性循环。辅助再生指充分利用生态系统的自我恢复能力，辅以人工促进措施，使退化、受损的生态系统逐步恢复并进入良性循环。自然恢复指对生态系统停止人为干扰，以减轻负荷压力，依靠生态系统的自我调节能力和组织能力使其向有序的方向自然演替和更新恢复。</w:t>
      </w:r>
      <w:r>
        <w:rPr>
          <w:rFonts w:hint="eastAsia" w:ascii="Times New Roman" w:hAnsi="Times New Roman" w:eastAsia="宋体" w:cs="Times New Roman"/>
          <w:color w:val="000000" w:themeColor="text1"/>
          <w:sz w:val="24"/>
          <w:lang w:val="en-US" w:eastAsia="zh-CN"/>
          <w14:textFill>
            <w14:solidFill>
              <w14:schemeClr w14:val="tx1"/>
            </w14:solidFill>
          </w14:textFill>
        </w:rPr>
        <w:t>借鉴以上分类</w:t>
      </w:r>
      <w:r>
        <w:rPr>
          <w:rFonts w:hint="default" w:ascii="Times New Roman" w:hAnsi="Times New Roman" w:eastAsia="宋体" w:cs="Times New Roman"/>
          <w:color w:val="000000" w:themeColor="text1"/>
          <w:sz w:val="24"/>
          <w:lang w:val="en-US"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结合</w:t>
      </w:r>
      <w:r>
        <w:rPr>
          <w:rFonts w:hint="eastAsia" w:ascii="Times New Roman" w:hAnsi="Times New Roman" w:eastAsia="宋体" w:cs="Times New Roman"/>
          <w:color w:val="000000" w:themeColor="text1"/>
          <w:sz w:val="24"/>
          <w:lang w:val="zh-CN" w:eastAsia="zh-CN"/>
          <w14:textFill>
            <w14:solidFill>
              <w14:schemeClr w14:val="tx1"/>
            </w14:solidFill>
          </w14:textFill>
        </w:rPr>
        <w:t>地浸采铀</w:t>
      </w:r>
      <w:r>
        <w:rPr>
          <w:rFonts w:hint="default" w:ascii="Times New Roman" w:hAnsi="Times New Roman" w:eastAsia="宋体" w:cs="Times New Roman"/>
          <w:color w:val="000000" w:themeColor="text1"/>
          <w:sz w:val="24"/>
          <w:lang w:val="zh-CN" w:eastAsia="zh-CN"/>
          <w14:textFill>
            <w14:solidFill>
              <w14:schemeClr w14:val="tx1"/>
            </w14:solidFill>
          </w14:textFill>
        </w:rPr>
        <w:t>开采工艺、地下水使用功能、区域水文地质与环境要求、技术经济条件等，</w:t>
      </w:r>
      <w:r>
        <w:rPr>
          <w:rFonts w:hint="default" w:ascii="Times New Roman" w:hAnsi="Times New Roman" w:eastAsia="宋体" w:cs="Times New Roman"/>
          <w:color w:val="000000" w:themeColor="text1"/>
          <w:sz w:val="24"/>
          <w:lang w:val="en-US" w:eastAsia="zh-CN"/>
          <w14:textFill>
            <w14:solidFill>
              <w14:schemeClr w14:val="tx1"/>
            </w14:solidFill>
          </w14:textFill>
        </w:rPr>
        <w:t>通过调研分析，可</w:t>
      </w:r>
      <w:r>
        <w:rPr>
          <w:rFonts w:hint="default" w:ascii="Times New Roman" w:hAnsi="Times New Roman" w:eastAsia="宋体" w:cs="Times New Roman"/>
          <w:color w:val="000000" w:themeColor="text1"/>
          <w:sz w:val="24"/>
          <w:lang w:val="zh-CN" w:eastAsia="zh-CN"/>
          <w14:textFill>
            <w14:solidFill>
              <w14:schemeClr w14:val="tx1"/>
            </w14:solidFill>
          </w14:textFill>
        </w:rPr>
        <w:t>将我国地浸</w:t>
      </w:r>
      <w:r>
        <w:rPr>
          <w:rFonts w:hint="eastAsia" w:ascii="Times New Roman" w:hAnsi="Times New Roman" w:eastAsia="宋体" w:cs="Times New Roman"/>
          <w:color w:val="000000" w:themeColor="text1"/>
          <w:sz w:val="24"/>
          <w:lang w:val="en-US" w:eastAsia="zh-CN"/>
          <w14:textFill>
            <w14:solidFill>
              <w14:schemeClr w14:val="tx1"/>
            </w14:solidFill>
          </w14:textFill>
        </w:rPr>
        <w:t>采</w:t>
      </w:r>
      <w:r>
        <w:rPr>
          <w:rFonts w:hint="default" w:ascii="Times New Roman" w:hAnsi="Times New Roman" w:eastAsia="宋体" w:cs="Times New Roman"/>
          <w:color w:val="000000" w:themeColor="text1"/>
          <w:sz w:val="24"/>
          <w:lang w:val="zh-CN" w:eastAsia="zh-CN"/>
          <w14:textFill>
            <w14:solidFill>
              <w14:schemeClr w14:val="tx1"/>
            </w14:solidFill>
          </w14:textFill>
        </w:rPr>
        <w:t>铀地下水修复总体分为</w:t>
      </w:r>
      <w:r>
        <w:rPr>
          <w:rFonts w:hint="eastAsia" w:ascii="Times New Roman" w:hAnsi="Times New Roman" w:eastAsia="宋体" w:cs="Times New Roman"/>
          <w:color w:val="000000" w:themeColor="text1"/>
          <w:sz w:val="24"/>
          <w:lang w:val="en-US" w:eastAsia="zh-CN"/>
          <w14:textFill>
            <w14:solidFill>
              <w14:schemeClr w14:val="tx1"/>
            </w14:solidFill>
          </w14:textFill>
        </w:rPr>
        <w:t>人工</w:t>
      </w:r>
      <w:r>
        <w:rPr>
          <w:rFonts w:hint="default" w:ascii="Times New Roman" w:hAnsi="Times New Roman" w:eastAsia="宋体" w:cs="Times New Roman"/>
          <w:color w:val="000000" w:themeColor="text1"/>
          <w:sz w:val="24"/>
          <w:lang w:val="zh-CN" w:eastAsia="zh-CN"/>
          <w14:textFill>
            <w14:solidFill>
              <w14:schemeClr w14:val="tx1"/>
            </w14:solidFill>
          </w14:textFill>
        </w:rPr>
        <w:t>修复、</w:t>
      </w:r>
      <w:r>
        <w:rPr>
          <w:rFonts w:hint="eastAsia" w:ascii="Times New Roman" w:hAnsi="Times New Roman" w:eastAsia="宋体" w:cs="Times New Roman"/>
          <w:color w:val="000000" w:themeColor="text1"/>
          <w:sz w:val="24"/>
          <w:lang w:val="en-US" w:eastAsia="zh-CN"/>
          <w14:textFill>
            <w14:solidFill>
              <w14:schemeClr w14:val="tx1"/>
            </w14:solidFill>
          </w14:textFill>
        </w:rPr>
        <w:t>辅助修复</w:t>
      </w:r>
      <w:r>
        <w:rPr>
          <w:rFonts w:hint="eastAsia" w:ascii="Times New Roman" w:hAnsi="Times New Roman" w:eastAsia="宋体" w:cs="Times New Roman"/>
          <w:color w:val="000000" w:themeColor="text1"/>
          <w:sz w:val="24"/>
          <w:lang w:val="zh-CN" w:eastAsia="zh-CN"/>
          <w14:textFill>
            <w14:solidFill>
              <w14:schemeClr w14:val="tx1"/>
            </w14:solidFill>
          </w14:textFill>
        </w:rPr>
        <w:t>和</w:t>
      </w:r>
      <w:r>
        <w:rPr>
          <w:rFonts w:hint="eastAsia" w:ascii="Times New Roman" w:hAnsi="Times New Roman" w:eastAsia="宋体" w:cs="Times New Roman"/>
          <w:color w:val="000000" w:themeColor="text1"/>
          <w:sz w:val="24"/>
          <w:lang w:val="en-US" w:eastAsia="zh-CN"/>
          <w14:textFill>
            <w14:solidFill>
              <w14:schemeClr w14:val="tx1"/>
            </w14:solidFill>
          </w14:textFill>
        </w:rPr>
        <w:t>自然衰减</w:t>
      </w:r>
      <w:r>
        <w:rPr>
          <w:rFonts w:hint="default" w:ascii="Times New Roman" w:hAnsi="Times New Roman" w:eastAsia="宋体" w:cs="Times New Roman"/>
          <w:color w:val="000000" w:themeColor="text1"/>
          <w:sz w:val="24"/>
          <w:lang w:val="zh-CN" w:eastAsia="zh-CN"/>
          <w14:textFill>
            <w14:solidFill>
              <w14:schemeClr w14:val="tx1"/>
            </w14:solidFill>
          </w14:textFill>
        </w:rPr>
        <w:t>三类。其中，</w:t>
      </w:r>
      <w:r>
        <w:rPr>
          <w:rFonts w:hint="eastAsia" w:ascii="Times New Roman" w:hAnsi="Times New Roman" w:eastAsia="宋体" w:cs="Times New Roman"/>
          <w:color w:val="000000" w:themeColor="text1"/>
          <w:sz w:val="24"/>
          <w:lang w:val="en-US" w:eastAsia="zh-CN"/>
          <w14:textFill>
            <w14:solidFill>
              <w14:schemeClr w14:val="tx1"/>
            </w14:solidFill>
          </w14:textFill>
        </w:rPr>
        <w:t>人工</w:t>
      </w:r>
      <w:r>
        <w:rPr>
          <w:rFonts w:hint="default" w:ascii="Times New Roman" w:hAnsi="Times New Roman" w:eastAsia="宋体" w:cs="Times New Roman"/>
          <w:color w:val="000000" w:themeColor="text1"/>
          <w:sz w:val="24"/>
          <w:lang w:val="zh-CN" w:eastAsia="zh-CN"/>
          <w14:textFill>
            <w14:solidFill>
              <w14:schemeClr w14:val="tx1"/>
            </w14:solidFill>
          </w14:textFill>
        </w:rPr>
        <w:t>修复类主要采用人工修复方式、</w:t>
      </w:r>
      <w:r>
        <w:rPr>
          <w:rFonts w:hint="eastAsia" w:ascii="Times New Roman" w:hAnsi="Times New Roman" w:eastAsia="宋体" w:cs="Times New Roman"/>
          <w:color w:val="000000" w:themeColor="text1"/>
          <w:sz w:val="24"/>
          <w:lang w:val="en-US" w:eastAsia="zh-CN"/>
          <w14:textFill>
            <w14:solidFill>
              <w14:schemeClr w14:val="tx1"/>
            </w14:solidFill>
          </w14:textFill>
        </w:rPr>
        <w:t>辅助修复</w:t>
      </w:r>
      <w:r>
        <w:rPr>
          <w:rFonts w:hint="eastAsia" w:ascii="Times New Roman" w:hAnsi="Times New Roman" w:eastAsia="宋体" w:cs="Times New Roman"/>
          <w:color w:val="000000" w:themeColor="text1"/>
          <w:sz w:val="24"/>
          <w:lang w:val="zh-CN" w:eastAsia="zh-CN"/>
          <w14:textFill>
            <w14:solidFill>
              <w14:schemeClr w14:val="tx1"/>
            </w14:solidFill>
          </w14:textFill>
        </w:rPr>
        <w:t>类</w:t>
      </w:r>
      <w:r>
        <w:rPr>
          <w:rFonts w:hint="default" w:ascii="Times New Roman" w:hAnsi="Times New Roman" w:eastAsia="宋体" w:cs="Times New Roman"/>
          <w:color w:val="000000" w:themeColor="text1"/>
          <w:sz w:val="24"/>
          <w:lang w:val="zh-CN" w:eastAsia="zh-CN"/>
          <w14:textFill>
            <w14:solidFill>
              <w14:schemeClr w14:val="tx1"/>
            </w14:solidFill>
          </w14:textFill>
        </w:rPr>
        <w:t>主要采用人工修复</w:t>
      </w:r>
      <w:r>
        <w:rPr>
          <w:rFonts w:hint="eastAsia" w:ascii="Times New Roman" w:hAnsi="Times New Roman" w:eastAsia="宋体" w:cs="Times New Roman"/>
          <w:color w:val="000000" w:themeColor="text1"/>
          <w:sz w:val="24"/>
          <w:lang w:val="en-US"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自然衰减的修复方式。</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黑体" w:hAnsi="黑体" w:eastAsia="黑体"/>
          <w:kern w:val="0"/>
          <w:sz w:val="24"/>
          <w:lang w:val="en-US" w:eastAsia="zh-CN"/>
        </w:rPr>
      </w:pPr>
      <w:r>
        <w:rPr>
          <w:rFonts w:hint="eastAsia" w:ascii="黑体" w:hAnsi="黑体" w:eastAsia="黑体"/>
          <w:kern w:val="0"/>
          <w:sz w:val="24"/>
          <w:lang w:val="en-US" w:eastAsia="zh-CN"/>
        </w:rPr>
        <w:t>2.1.2 自然衰减</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本标准规定，地下</w:t>
      </w:r>
      <w:r>
        <w:rPr>
          <w:rFonts w:hint="default" w:ascii="Times New Roman" w:hAnsi="Times New Roman" w:eastAsia="宋体" w:cs="Times New Roman"/>
          <w:color w:val="000000" w:themeColor="text1"/>
          <w:sz w:val="24"/>
          <w:lang w:val="en-US" w:eastAsia="zh-CN"/>
          <w14:textFill>
            <w14:solidFill>
              <w14:schemeClr w14:val="tx1"/>
            </w14:solidFill>
          </w14:textFill>
        </w:rPr>
        <w:t>水无使用功能的，应充分利用环境自然恢复能力，进行自然衰减并开展</w:t>
      </w:r>
      <w:r>
        <w:rPr>
          <w:rFonts w:hint="default" w:ascii="Times New Roman" w:hAnsi="Times New Roman" w:eastAsia="宋体" w:cs="Times New Roman"/>
          <w:color w:val="000000" w:themeColor="text1"/>
          <w:sz w:val="24"/>
          <w:lang w:val="zh-CN" w:eastAsia="zh-CN"/>
          <w14:textFill>
            <w14:solidFill>
              <w14:schemeClr w14:val="tx1"/>
            </w14:solidFill>
          </w14:textFill>
        </w:rPr>
        <w:t>长期监测，</w:t>
      </w:r>
      <w:r>
        <w:rPr>
          <w:rFonts w:hint="default" w:ascii="Times New Roman" w:hAnsi="Times New Roman" w:eastAsia="宋体" w:cs="Times New Roman"/>
          <w:color w:val="000000" w:themeColor="text1"/>
          <w:sz w:val="24"/>
          <w:lang w:val="en-US" w:eastAsia="zh-CN"/>
          <w14:textFill>
            <w14:solidFill>
              <w14:schemeClr w14:val="tx1"/>
            </w14:solidFill>
          </w14:textFill>
        </w:rPr>
        <w:t>直至达到</w:t>
      </w:r>
      <w:r>
        <w:rPr>
          <w:rFonts w:hint="eastAsia" w:ascii="Times New Roman" w:hAnsi="Times New Roman" w:eastAsia="宋体" w:cs="Times New Roman"/>
          <w:color w:val="000000" w:themeColor="text1"/>
          <w:sz w:val="24"/>
          <w:lang w:val="en-US" w:eastAsia="zh-CN"/>
          <w14:textFill>
            <w14:solidFill>
              <w14:schemeClr w14:val="tx1"/>
            </w14:solidFill>
          </w14:textFill>
        </w:rPr>
        <w:t>监管</w:t>
      </w:r>
      <w:r>
        <w:rPr>
          <w:rFonts w:hint="default" w:ascii="Times New Roman" w:hAnsi="Times New Roman" w:eastAsia="宋体" w:cs="Times New Roman"/>
          <w:color w:val="000000" w:themeColor="text1"/>
          <w:sz w:val="24"/>
          <w:lang w:val="en-US" w:eastAsia="zh-CN"/>
          <w14:textFill>
            <w14:solidFill>
              <w14:schemeClr w14:val="tx1"/>
            </w14:solidFill>
          </w14:textFill>
        </w:rPr>
        <w:t>要求。</w:t>
      </w:r>
      <w:r>
        <w:rPr>
          <w:rFonts w:hint="default" w:ascii="Times New Roman" w:hAnsi="Times New Roman" w:eastAsia="宋体" w:cs="Times New Roman"/>
          <w:color w:val="000000" w:themeColor="text1"/>
          <w:sz w:val="24"/>
          <w:lang w:val="zh-CN" w:eastAsia="zh-CN"/>
          <w14:textFill>
            <w14:solidFill>
              <w14:schemeClr w14:val="tx1"/>
            </w14:solidFill>
          </w14:textFill>
        </w:rPr>
        <w:t>自然衰减</w:t>
      </w:r>
      <w:r>
        <w:rPr>
          <w:rFonts w:hint="eastAsia" w:ascii="Times New Roman" w:hAnsi="Times New Roman" w:eastAsia="宋体" w:cs="Times New Roman"/>
          <w:color w:val="000000" w:themeColor="text1"/>
          <w:sz w:val="24"/>
          <w:lang w:val="en-US" w:eastAsia="zh-CN"/>
          <w14:textFill>
            <w14:solidFill>
              <w14:schemeClr w14:val="tx1"/>
            </w14:solidFill>
          </w14:textFill>
        </w:rPr>
        <w:t>是</w:t>
      </w:r>
      <w:r>
        <w:rPr>
          <w:rFonts w:hint="default" w:ascii="Times New Roman" w:hAnsi="Times New Roman" w:eastAsia="宋体" w:cs="Times New Roman"/>
          <w:color w:val="000000" w:themeColor="text1"/>
          <w:sz w:val="24"/>
          <w:lang w:val="zh-CN" w:eastAsia="zh-CN"/>
          <w14:textFill>
            <w14:solidFill>
              <w14:schemeClr w14:val="tx1"/>
            </w14:solidFill>
          </w14:textFill>
        </w:rPr>
        <w:t>采用自然</w:t>
      </w:r>
      <w:r>
        <w:rPr>
          <w:rFonts w:hint="eastAsia" w:ascii="Times New Roman" w:hAnsi="Times New Roman" w:eastAsia="宋体" w:cs="Times New Roman"/>
          <w:color w:val="000000" w:themeColor="text1"/>
          <w:sz w:val="24"/>
          <w:lang w:val="en-US" w:eastAsia="zh-CN"/>
          <w14:textFill>
            <w14:solidFill>
              <w14:schemeClr w14:val="tx1"/>
            </w14:solidFill>
          </w14:textFill>
        </w:rPr>
        <w:t>恢复</w:t>
      </w:r>
      <w:r>
        <w:rPr>
          <w:rFonts w:hint="default" w:ascii="Times New Roman" w:hAnsi="Times New Roman" w:eastAsia="宋体" w:cs="Times New Roman"/>
          <w:color w:val="000000" w:themeColor="text1"/>
          <w:sz w:val="24"/>
          <w:lang w:val="zh-CN" w:eastAsia="zh-CN"/>
          <w14:textFill>
            <w14:solidFill>
              <w14:schemeClr w14:val="tx1"/>
            </w14:solidFill>
          </w14:textFill>
        </w:rPr>
        <w:t>方式，不借助人工干预，依靠地下水自然物理、化学及生物作用，逐步降解、转化或迁移污染物，使水质恢复至可接受水平。地下水自然</w:t>
      </w:r>
      <w:r>
        <w:rPr>
          <w:rFonts w:hint="eastAsia" w:ascii="Times New Roman" w:hAnsi="Times New Roman" w:eastAsia="宋体" w:cs="Times New Roman"/>
          <w:color w:val="000000" w:themeColor="text1"/>
          <w:sz w:val="24"/>
          <w:lang w:val="en-US" w:eastAsia="zh-CN"/>
          <w14:textFill>
            <w14:solidFill>
              <w14:schemeClr w14:val="tx1"/>
            </w14:solidFill>
          </w14:textFill>
        </w:rPr>
        <w:t>恢复</w:t>
      </w:r>
      <w:r>
        <w:rPr>
          <w:rFonts w:hint="default" w:ascii="Times New Roman" w:hAnsi="Times New Roman" w:eastAsia="宋体" w:cs="Times New Roman"/>
          <w:color w:val="000000" w:themeColor="text1"/>
          <w:sz w:val="24"/>
          <w:lang w:val="zh-CN" w:eastAsia="zh-CN"/>
          <w14:textFill>
            <w14:solidFill>
              <w14:schemeClr w14:val="tx1"/>
            </w14:solidFill>
          </w14:textFill>
        </w:rPr>
        <w:t>的时间较长，一般需要数十年时间，适用于偏远地区、人口稀少或者污染物迁移带来的环境风险极低的区域</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具体</w:t>
      </w:r>
      <w:r>
        <w:rPr>
          <w:rFonts w:hint="default" w:ascii="Times New Roman" w:hAnsi="Times New Roman" w:eastAsia="宋体" w:cs="Times New Roman"/>
          <w:color w:val="000000" w:themeColor="text1"/>
          <w:sz w:val="24"/>
          <w:lang w:val="zh-CN" w:eastAsia="zh-CN"/>
          <w14:textFill>
            <w14:solidFill>
              <w14:schemeClr w14:val="tx1"/>
            </w14:solidFill>
          </w14:textFill>
        </w:rPr>
        <w:t>适用条件包括：</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default" w:ascii="Times New Roman" w:hAnsi="Times New Roman" w:eastAsia="宋体" w:cs="Times New Roman"/>
          <w:color w:val="000000" w:themeColor="text1"/>
          <w:sz w:val="24"/>
          <w:lang w:val="zh-CN" w:eastAsia="zh-CN"/>
          <w14:textFill>
            <w14:solidFill>
              <w14:schemeClr w14:val="tx1"/>
            </w14:solidFill>
          </w14:textFill>
        </w:rPr>
        <w:t>1）地浸铀矿山周边地广人稀，植被覆盖度低，含矿含水层地下水无使用功能，且污染物迁移扩散范围内无地表出露点的区域，经分析评价综合判定后，可采用自然</w:t>
      </w:r>
      <w:r>
        <w:rPr>
          <w:rFonts w:hint="eastAsia" w:ascii="Times New Roman" w:hAnsi="Times New Roman" w:eastAsia="宋体" w:cs="Times New Roman"/>
          <w:color w:val="000000" w:themeColor="text1"/>
          <w:sz w:val="24"/>
          <w:lang w:val="en-US" w:eastAsia="zh-CN"/>
          <w14:textFill>
            <w14:solidFill>
              <w14:schemeClr w14:val="tx1"/>
            </w14:solidFill>
          </w14:textFill>
        </w:rPr>
        <w:t>衰减</w:t>
      </w:r>
      <w:r>
        <w:rPr>
          <w:rFonts w:hint="default" w:ascii="Times New Roman" w:hAnsi="Times New Roman" w:eastAsia="宋体" w:cs="Times New Roman"/>
          <w:color w:val="000000" w:themeColor="text1"/>
          <w:sz w:val="24"/>
          <w:lang w:val="zh-CN" w:eastAsia="zh-CN"/>
          <w14:textFill>
            <w14:solidFill>
              <w14:schemeClr w14:val="tx1"/>
            </w14:solidFill>
          </w14:textFill>
        </w:rPr>
        <w:t>方式。</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default" w:ascii="Times New Roman" w:hAnsi="Times New Roman" w:eastAsia="宋体" w:cs="Times New Roman"/>
          <w:color w:val="000000" w:themeColor="text1"/>
          <w:sz w:val="24"/>
          <w:lang w:val="zh-CN" w:eastAsia="zh-CN"/>
          <w14:textFill>
            <w14:solidFill>
              <w14:schemeClr w14:val="tx1"/>
            </w14:solidFill>
          </w14:textFill>
        </w:rPr>
        <w:t>2）含矿含水层埋深大于500m，</w:t>
      </w:r>
      <w:r>
        <w:rPr>
          <w:rFonts w:hint="eastAsia" w:ascii="Times New Roman" w:hAnsi="Times New Roman" w:eastAsia="宋体" w:cs="Times New Roman"/>
          <w:color w:val="000000" w:themeColor="text1"/>
          <w:sz w:val="24"/>
          <w:lang w:val="en-US" w:eastAsia="zh-CN"/>
          <w14:textFill>
            <w14:solidFill>
              <w14:schemeClr w14:val="tx1"/>
            </w14:solidFill>
          </w14:textFill>
        </w:rPr>
        <w:t>地下水</w:t>
      </w:r>
      <w:r>
        <w:rPr>
          <w:rFonts w:hint="default" w:ascii="Times New Roman" w:hAnsi="Times New Roman" w:eastAsia="宋体" w:cs="Times New Roman"/>
          <w:color w:val="000000" w:themeColor="text1"/>
          <w:sz w:val="24"/>
          <w:lang w:val="zh-CN" w:eastAsia="zh-CN"/>
          <w14:textFill>
            <w14:solidFill>
              <w14:schemeClr w14:val="tx1"/>
            </w14:solidFill>
          </w14:textFill>
        </w:rPr>
        <w:t>无使用功能</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与饮用水层</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若有</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中间至少有一个承压水层，且承压水层具有连续稳定的隔水顶底板，污染物迁移扩散范围无法延伸至饮用水层或地表出露点的区域，经分析评价综合判定后，可采用自然</w:t>
      </w:r>
      <w:r>
        <w:rPr>
          <w:rFonts w:hint="eastAsia" w:ascii="Times New Roman" w:hAnsi="Times New Roman" w:eastAsia="宋体" w:cs="Times New Roman"/>
          <w:color w:val="000000" w:themeColor="text1"/>
          <w:sz w:val="24"/>
          <w:lang w:val="en-US" w:eastAsia="zh-CN"/>
          <w14:textFill>
            <w14:solidFill>
              <w14:schemeClr w14:val="tx1"/>
            </w14:solidFill>
          </w14:textFill>
        </w:rPr>
        <w:t>衰减</w:t>
      </w:r>
      <w:r>
        <w:rPr>
          <w:rFonts w:hint="default" w:ascii="Times New Roman" w:hAnsi="Times New Roman" w:eastAsia="宋体" w:cs="Times New Roman"/>
          <w:color w:val="000000" w:themeColor="text1"/>
          <w:sz w:val="24"/>
          <w:lang w:val="zh-CN" w:eastAsia="zh-CN"/>
          <w14:textFill>
            <w14:solidFill>
              <w14:schemeClr w14:val="tx1"/>
            </w14:solidFill>
          </w14:textFill>
        </w:rPr>
        <w:t>方式。</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关于</w:t>
      </w:r>
      <w:r>
        <w:rPr>
          <w:rFonts w:hint="default" w:ascii="Times New Roman" w:hAnsi="Times New Roman" w:eastAsia="宋体" w:cs="Times New Roman"/>
          <w:color w:val="000000" w:themeColor="text1"/>
          <w:sz w:val="24"/>
          <w:lang w:val="zh-CN" w:eastAsia="zh-CN"/>
          <w14:textFill>
            <w14:solidFill>
              <w14:schemeClr w14:val="tx1"/>
            </w14:solidFill>
          </w14:textFill>
        </w:rPr>
        <w:t>含矿含水层埋深</w:t>
      </w:r>
      <w:r>
        <w:rPr>
          <w:rFonts w:hint="eastAsia" w:ascii="Times New Roman" w:hAnsi="Times New Roman" w:eastAsia="宋体" w:cs="Times New Roman"/>
          <w:color w:val="000000" w:themeColor="text1"/>
          <w:sz w:val="24"/>
          <w:lang w:val="en-US" w:eastAsia="zh-CN"/>
          <w14:textFill>
            <w14:solidFill>
              <w14:schemeClr w14:val="tx1"/>
            </w14:solidFill>
          </w14:textFill>
        </w:rPr>
        <w:t>的确定</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借鉴了美国相关要求。</w:t>
      </w:r>
      <w:r>
        <w:rPr>
          <w:rFonts w:hint="default" w:ascii="Times New Roman" w:hAnsi="Times New Roman" w:eastAsia="宋体" w:cs="Times New Roman"/>
          <w:color w:val="000000" w:themeColor="text1"/>
          <w:sz w:val="24"/>
          <w:lang w:val="zh-CN" w:eastAsia="zh-CN"/>
          <w14:textFill>
            <w14:solidFill>
              <w14:schemeClr w14:val="tx1"/>
            </w14:solidFill>
          </w14:textFill>
        </w:rPr>
        <w:t>我国出台的《陆上油气田采出水地下注入环境保护技术规范》（SY/T7784-2024）和《气田水回注技术规范》（Q/SY01004-2016）等，未规定具体深度。美国将地下灌注井分为六类，其中Ⅰ类灌注井用于灌注危险废物、非危险工业废液、城市废水，要求灌注层位于当地最深地下饮用水含水层以下，深度最浅为518m；Ⅱ类灌注井用于灌注石油和天然气生产相关的液体，其灌注深度也必须低于当地最深的地下水饮用含水层。</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eastAsia" w:ascii="黑体" w:hAnsi="黑体" w:eastAsia="黑体"/>
          <w:kern w:val="0"/>
          <w:sz w:val="24"/>
          <w:lang w:val="en-US" w:eastAsia="zh-CN"/>
        </w:rPr>
      </w:pPr>
      <w:r>
        <w:rPr>
          <w:rFonts w:hint="eastAsia" w:ascii="黑体" w:hAnsi="黑体" w:eastAsia="黑体"/>
          <w:kern w:val="0"/>
          <w:sz w:val="24"/>
          <w:lang w:val="en-US" w:eastAsia="zh-CN"/>
        </w:rPr>
        <w:t>2.1.3 人工修复与辅助修复</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人工修复类是采用人工修复方式，主要通过物理、化学或生物手段，人为干预去除地下水中污染物，使水质恢复至可接受水平。该类型主要考虑到自然衰减时间较长，无法满足地下水使用功能和所在区域环境要求，因此采用人工修复方式。人工修复类适用条件包括：</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1）水资源利用规划中，含矿含水层为地下水利用层位或已规划为潜在的地下水利用目标层位</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2）含矿含水层位于饮用水层下层，且中间无其他隔水层。</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3）铀矿与其他矿产协同开采过程中，含矿含水层为其他矿产开发利用的疏放水层。</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辅助修复类是采用人工和自然结合的修复方式。除人工修复类、自然衰减类所涉及地浸铀矿山外，其他地浸铀矿山建议均作为辅助修复类考虑。</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hint="default" w:ascii="黑体" w:hAnsi="黑体" w:eastAsia="黑体"/>
          <w:kern w:val="0"/>
          <w:sz w:val="24"/>
          <w:lang w:val="en-US" w:eastAsia="zh-CN"/>
        </w:rPr>
      </w:pPr>
      <w:r>
        <w:rPr>
          <w:rFonts w:hint="eastAsia" w:ascii="黑体" w:hAnsi="黑体" w:eastAsia="黑体"/>
          <w:kern w:val="0"/>
          <w:sz w:val="24"/>
          <w:lang w:val="en-US" w:eastAsia="zh-CN"/>
        </w:rPr>
        <w:t>2</w:t>
      </w:r>
      <w:r>
        <w:rPr>
          <w:rFonts w:hint="eastAsia" w:ascii="黑体" w:hAnsi="黑体" w:eastAsia="黑体"/>
          <w:kern w:val="0"/>
          <w:sz w:val="24"/>
        </w:rPr>
        <w:t>.</w:t>
      </w:r>
      <w:r>
        <w:rPr>
          <w:rFonts w:hint="eastAsia" w:ascii="黑体" w:hAnsi="黑体" w:eastAsia="黑体"/>
          <w:kern w:val="0"/>
          <w:sz w:val="24"/>
          <w:lang w:val="en-US" w:eastAsia="zh-CN"/>
        </w:rPr>
        <w:t>2</w:t>
      </w:r>
      <w:r>
        <w:rPr>
          <w:rFonts w:hint="eastAsia" w:ascii="Times New Roman" w:hAnsi="Times New Roman" w:eastAsia="宋体" w:cs="Times New Roman"/>
          <w:kern w:val="0"/>
          <w:sz w:val="24"/>
          <w:szCs w:val="20"/>
          <w:lang w:val="en-US" w:eastAsia="zh-CN" w:bidi="ar-SA"/>
        </w:rPr>
        <w:t xml:space="preserve"> </w:t>
      </w:r>
      <w:r>
        <w:rPr>
          <w:rFonts w:hint="eastAsia" w:ascii="黑体" w:hAnsi="黑体" w:eastAsia="黑体"/>
          <w:kern w:val="0"/>
          <w:sz w:val="24"/>
          <w:lang w:val="en-US" w:eastAsia="zh-CN"/>
        </w:rPr>
        <w:t>本底水平与使用功能</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黑体" w:hAnsi="黑体" w:eastAsia="黑体"/>
          <w:kern w:val="0"/>
          <w:sz w:val="24"/>
          <w:lang w:val="en-US" w:eastAsia="zh-CN"/>
        </w:rPr>
      </w:pPr>
      <w:r>
        <w:rPr>
          <w:rFonts w:hint="eastAsia" w:ascii="黑体" w:hAnsi="黑体" w:eastAsia="黑体"/>
          <w:kern w:val="0"/>
          <w:sz w:val="24"/>
          <w:lang w:val="en-US" w:eastAsia="zh-CN"/>
        </w:rPr>
        <w:t xml:space="preserve">2.2.1 </w:t>
      </w:r>
      <w:r>
        <w:rPr>
          <w:rFonts w:hint="default" w:ascii="黑体" w:hAnsi="黑体" w:eastAsia="黑体"/>
          <w:kern w:val="0"/>
          <w:sz w:val="24"/>
          <w:lang w:val="en-US" w:eastAsia="zh-CN"/>
        </w:rPr>
        <w:t>本底水平</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default" w:ascii="Times New Roman" w:hAnsi="Times New Roman" w:eastAsia="宋体" w:cs="Times New Roman"/>
          <w:color w:val="000000" w:themeColor="text1"/>
          <w:sz w:val="24"/>
          <w:lang w:val="zh-CN" w:eastAsia="zh-CN"/>
          <w14:textFill>
            <w14:solidFill>
              <w14:schemeClr w14:val="tx1"/>
            </w14:solidFill>
          </w14:textFill>
        </w:rPr>
        <w:t>地下水本底水平是</w:t>
      </w:r>
      <w:r>
        <w:rPr>
          <w:rFonts w:hint="eastAsia" w:ascii="Times New Roman" w:hAnsi="Times New Roman" w:eastAsia="宋体" w:cs="Times New Roman"/>
          <w:color w:val="000000" w:themeColor="text1"/>
          <w:sz w:val="24"/>
          <w:lang w:val="en-US" w:eastAsia="zh-CN"/>
          <w14:textFill>
            <w14:solidFill>
              <w14:schemeClr w14:val="tx1"/>
            </w14:solidFill>
          </w14:textFill>
        </w:rPr>
        <w:t>确定</w:t>
      </w:r>
      <w:r>
        <w:rPr>
          <w:rFonts w:hint="eastAsia" w:ascii="Times New Roman" w:hAnsi="Times New Roman" w:eastAsia="宋体" w:cs="Times New Roman"/>
          <w:color w:val="000000" w:themeColor="text1"/>
          <w:sz w:val="24"/>
          <w:lang w:val="zh-CN" w:eastAsia="zh-CN"/>
          <w14:textFill>
            <w14:solidFill>
              <w14:schemeClr w14:val="tx1"/>
            </w14:solidFill>
          </w14:textFill>
        </w:rPr>
        <w:t>地浸采铀</w:t>
      </w:r>
      <w:r>
        <w:rPr>
          <w:rFonts w:hint="default" w:ascii="Times New Roman" w:hAnsi="Times New Roman" w:eastAsia="宋体" w:cs="Times New Roman"/>
          <w:color w:val="000000" w:themeColor="text1"/>
          <w:sz w:val="24"/>
          <w:lang w:val="zh-CN" w:eastAsia="zh-CN"/>
          <w14:textFill>
            <w14:solidFill>
              <w14:schemeClr w14:val="tx1"/>
            </w14:solidFill>
          </w14:textFill>
        </w:rPr>
        <w:t>修复目标值的</w:t>
      </w:r>
      <w:r>
        <w:rPr>
          <w:rFonts w:hint="eastAsia" w:ascii="Times New Roman" w:hAnsi="Times New Roman" w:eastAsia="宋体" w:cs="Times New Roman"/>
          <w:color w:val="000000" w:themeColor="text1"/>
          <w:sz w:val="24"/>
          <w:lang w:val="en-US" w:eastAsia="zh-CN"/>
          <w14:textFill>
            <w14:solidFill>
              <w14:schemeClr w14:val="tx1"/>
            </w14:solidFill>
          </w14:textFill>
        </w:rPr>
        <w:t>基本</w:t>
      </w:r>
      <w:r>
        <w:rPr>
          <w:rFonts w:hint="default" w:ascii="Times New Roman" w:hAnsi="Times New Roman" w:eastAsia="宋体" w:cs="Times New Roman"/>
          <w:color w:val="000000" w:themeColor="text1"/>
          <w:sz w:val="24"/>
          <w:lang w:val="zh-CN" w:eastAsia="zh-CN"/>
          <w14:textFill>
            <w14:solidFill>
              <w14:schemeClr w14:val="tx1"/>
            </w14:solidFill>
          </w14:textFill>
        </w:rPr>
        <w:t>依据</w:t>
      </w:r>
      <w:r>
        <w:rPr>
          <w:rFonts w:hint="eastAsia" w:ascii="Times New Roman" w:hAnsi="Times New Roman" w:eastAsia="宋体" w:cs="Times New Roman"/>
          <w:color w:val="000000" w:themeColor="text1"/>
          <w:sz w:val="24"/>
          <w:lang w:val="en-US" w:eastAsia="zh-CN"/>
          <w14:textFill>
            <w14:solidFill>
              <w14:schemeClr w14:val="tx1"/>
            </w14:solidFill>
          </w14:textFill>
        </w:rPr>
        <w:t>之一</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本底</w:t>
      </w:r>
      <w:r>
        <w:rPr>
          <w:rFonts w:hint="eastAsia" w:ascii="Times New Roman" w:hAnsi="Times New Roman" w:eastAsia="宋体" w:cs="Times New Roman"/>
          <w:color w:val="000000" w:themeColor="text1"/>
          <w:sz w:val="24"/>
          <w:lang w:val="zh-CN" w:eastAsia="zh-CN"/>
          <w14:textFill>
            <w14:solidFill>
              <w14:schemeClr w14:val="tx1"/>
            </w14:solidFill>
          </w14:textFill>
        </w:rPr>
        <w:t>调查范围以</w:t>
      </w:r>
      <w:r>
        <w:rPr>
          <w:rFonts w:hint="default" w:ascii="Times New Roman" w:hAnsi="Times New Roman" w:eastAsia="宋体" w:cs="Times New Roman"/>
          <w:color w:val="000000" w:themeColor="text1"/>
          <w:sz w:val="24"/>
          <w:lang w:val="zh-CN" w:eastAsia="zh-CN"/>
          <w14:textFill>
            <w14:solidFill>
              <w14:schemeClr w14:val="tx1"/>
            </w14:solidFill>
          </w14:textFill>
        </w:rPr>
        <w:t>含矿含水层为核心</w:t>
      </w:r>
      <w:r>
        <w:rPr>
          <w:rFonts w:hint="eastAsia" w:ascii="Times New Roman" w:hAnsi="Times New Roman" w:eastAsia="宋体" w:cs="Times New Roman"/>
          <w:color w:val="000000" w:themeColor="text1"/>
          <w:sz w:val="24"/>
          <w:lang w:val="zh-CN" w:eastAsia="zh-CN"/>
          <w14:textFill>
            <w14:solidFill>
              <w14:schemeClr w14:val="tx1"/>
            </w14:solidFill>
          </w14:textFill>
        </w:rPr>
        <w:t>范围；涉及</w:t>
      </w:r>
      <w:r>
        <w:rPr>
          <w:rFonts w:hint="default" w:ascii="Times New Roman" w:hAnsi="Times New Roman" w:eastAsia="宋体" w:cs="Times New Roman"/>
          <w:color w:val="000000" w:themeColor="text1"/>
          <w:sz w:val="24"/>
          <w:lang w:val="zh-CN" w:eastAsia="zh-CN"/>
          <w14:textFill>
            <w14:solidFill>
              <w14:schemeClr w14:val="tx1"/>
            </w14:solidFill>
          </w14:textFill>
        </w:rPr>
        <w:t>多层含矿含水层开采</w:t>
      </w:r>
      <w:r>
        <w:rPr>
          <w:rFonts w:hint="eastAsia" w:ascii="Times New Roman" w:hAnsi="Times New Roman" w:eastAsia="宋体" w:cs="Times New Roman"/>
          <w:color w:val="000000" w:themeColor="text1"/>
          <w:sz w:val="24"/>
          <w:lang w:val="zh-CN" w:eastAsia="zh-CN"/>
          <w14:textFill>
            <w14:solidFill>
              <w14:schemeClr w14:val="tx1"/>
            </w14:solidFill>
          </w14:textFill>
        </w:rPr>
        <w:t>的</w:t>
      </w:r>
      <w:r>
        <w:rPr>
          <w:rFonts w:hint="default" w:ascii="Times New Roman" w:hAnsi="Times New Roman" w:eastAsia="宋体" w:cs="Times New Roman"/>
          <w:color w:val="000000" w:themeColor="text1"/>
          <w:sz w:val="24"/>
          <w:lang w:val="zh-CN" w:eastAsia="zh-CN"/>
          <w14:textFill>
            <w14:solidFill>
              <w14:schemeClr w14:val="tx1"/>
            </w14:solidFill>
          </w14:textFill>
        </w:rPr>
        <w:t>，需确定</w:t>
      </w:r>
      <w:r>
        <w:rPr>
          <w:rFonts w:hint="eastAsia" w:ascii="Times New Roman" w:hAnsi="Times New Roman" w:eastAsia="宋体" w:cs="Times New Roman"/>
          <w:color w:val="000000" w:themeColor="text1"/>
          <w:sz w:val="24"/>
          <w:lang w:val="zh-CN" w:eastAsia="zh-CN"/>
          <w14:textFill>
            <w14:solidFill>
              <w14:schemeClr w14:val="tx1"/>
            </w14:solidFill>
          </w14:textFill>
        </w:rPr>
        <w:t>每个层位的地下水</w:t>
      </w:r>
      <w:r>
        <w:rPr>
          <w:rFonts w:hint="default" w:ascii="Times New Roman" w:hAnsi="Times New Roman" w:eastAsia="宋体" w:cs="Times New Roman"/>
          <w:color w:val="000000" w:themeColor="text1"/>
          <w:sz w:val="24"/>
          <w:lang w:val="zh-CN" w:eastAsia="zh-CN"/>
          <w14:textFill>
            <w14:solidFill>
              <w14:schemeClr w14:val="tx1"/>
            </w14:solidFill>
          </w14:textFill>
        </w:rPr>
        <w:t>本底</w:t>
      </w:r>
      <w:r>
        <w:rPr>
          <w:rFonts w:hint="eastAsia" w:ascii="Times New Roman" w:hAnsi="Times New Roman" w:eastAsia="宋体" w:cs="Times New Roman"/>
          <w:color w:val="000000" w:themeColor="text1"/>
          <w:sz w:val="24"/>
          <w:lang w:val="zh-CN" w:eastAsia="zh-CN"/>
          <w14:textFill>
            <w14:solidFill>
              <w14:schemeClr w14:val="tx1"/>
            </w14:solidFill>
          </w14:textFill>
        </w:rPr>
        <w:t>；对于</w:t>
      </w:r>
      <w:r>
        <w:rPr>
          <w:rFonts w:hint="default" w:ascii="Times New Roman" w:hAnsi="Times New Roman" w:eastAsia="宋体" w:cs="Times New Roman"/>
          <w:color w:val="000000" w:themeColor="text1"/>
          <w:sz w:val="24"/>
          <w:lang w:val="zh-CN" w:eastAsia="zh-CN"/>
          <w14:textFill>
            <w14:solidFill>
              <w14:schemeClr w14:val="tx1"/>
            </w14:solidFill>
          </w14:textFill>
        </w:rPr>
        <w:t>含矿含水层上</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下含水层，</w:t>
      </w:r>
      <w:r>
        <w:rPr>
          <w:rFonts w:hint="eastAsia" w:ascii="Times New Roman" w:hAnsi="Times New Roman" w:eastAsia="宋体" w:cs="Times New Roman"/>
          <w:color w:val="000000" w:themeColor="text1"/>
          <w:sz w:val="24"/>
          <w:lang w:val="en-US" w:eastAsia="zh-CN"/>
          <w14:textFill>
            <w14:solidFill>
              <w14:schemeClr w14:val="tx1"/>
            </w14:solidFill>
          </w14:textFill>
        </w:rPr>
        <w:t>如果受到开采影响，也</w:t>
      </w:r>
      <w:r>
        <w:rPr>
          <w:rFonts w:hint="eastAsia" w:ascii="Times New Roman" w:hAnsi="Times New Roman" w:eastAsia="宋体" w:cs="Times New Roman"/>
          <w:color w:val="000000" w:themeColor="text1"/>
          <w:sz w:val="24"/>
          <w:lang w:val="zh-CN" w:eastAsia="zh-CN"/>
          <w14:textFill>
            <w14:solidFill>
              <w14:schemeClr w14:val="tx1"/>
            </w14:solidFill>
          </w14:textFill>
        </w:rPr>
        <w:t>应</w:t>
      </w:r>
      <w:r>
        <w:rPr>
          <w:rFonts w:hint="default" w:ascii="Times New Roman" w:hAnsi="Times New Roman" w:eastAsia="宋体" w:cs="Times New Roman"/>
          <w:color w:val="000000" w:themeColor="text1"/>
          <w:sz w:val="24"/>
          <w:lang w:val="zh-CN" w:eastAsia="zh-CN"/>
          <w14:textFill>
            <w14:solidFill>
              <w14:schemeClr w14:val="tx1"/>
            </w14:solidFill>
          </w14:textFill>
        </w:rPr>
        <w:t>纳入</w:t>
      </w:r>
      <w:r>
        <w:rPr>
          <w:rFonts w:hint="eastAsia" w:ascii="Times New Roman" w:hAnsi="Times New Roman" w:eastAsia="宋体" w:cs="Times New Roman"/>
          <w:color w:val="000000" w:themeColor="text1"/>
          <w:sz w:val="24"/>
          <w:lang w:val="zh-CN" w:eastAsia="zh-CN"/>
          <w14:textFill>
            <w14:solidFill>
              <w14:schemeClr w14:val="tx1"/>
            </w14:solidFill>
          </w14:textFill>
        </w:rPr>
        <w:t>地下水</w:t>
      </w:r>
      <w:r>
        <w:rPr>
          <w:rFonts w:hint="default" w:ascii="Times New Roman" w:hAnsi="Times New Roman" w:eastAsia="宋体" w:cs="Times New Roman"/>
          <w:color w:val="000000" w:themeColor="text1"/>
          <w:sz w:val="24"/>
          <w:lang w:val="zh-CN" w:eastAsia="zh-CN"/>
          <w14:textFill>
            <w14:solidFill>
              <w14:schemeClr w14:val="tx1"/>
            </w14:solidFill>
          </w14:textFill>
        </w:rPr>
        <w:t>本底</w:t>
      </w:r>
      <w:r>
        <w:rPr>
          <w:rFonts w:hint="eastAsia" w:ascii="Times New Roman" w:hAnsi="Times New Roman" w:eastAsia="宋体" w:cs="Times New Roman"/>
          <w:color w:val="000000" w:themeColor="text1"/>
          <w:sz w:val="24"/>
          <w:lang w:val="zh-CN" w:eastAsia="zh-CN"/>
          <w14:textFill>
            <w14:solidFill>
              <w14:schemeClr w14:val="tx1"/>
            </w14:solidFill>
          </w14:textFill>
        </w:rPr>
        <w:t>调查</w:t>
      </w:r>
      <w:r>
        <w:rPr>
          <w:rFonts w:hint="default" w:ascii="Times New Roman" w:hAnsi="Times New Roman" w:eastAsia="宋体" w:cs="Times New Roman"/>
          <w:color w:val="000000" w:themeColor="text1"/>
          <w:sz w:val="24"/>
          <w:lang w:val="zh-CN" w:eastAsia="zh-CN"/>
          <w14:textFill>
            <w14:solidFill>
              <w14:schemeClr w14:val="tx1"/>
            </w14:solidFill>
          </w14:textFill>
        </w:rPr>
        <w:t>范围。</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default" w:ascii="Times New Roman" w:hAnsi="Times New Roman" w:eastAsia="宋体" w:cs="Times New Roman"/>
          <w:color w:val="000000" w:themeColor="text1"/>
          <w:sz w:val="24"/>
          <w:lang w:val="zh-CN" w:eastAsia="zh-CN"/>
          <w14:textFill>
            <w14:solidFill>
              <w14:schemeClr w14:val="tx1"/>
            </w14:solidFill>
          </w14:textFill>
        </w:rPr>
        <w:t>地下水本底水平是矿山开采前天然水质水平，</w:t>
      </w:r>
      <w:r>
        <w:rPr>
          <w:rFonts w:hint="eastAsia" w:ascii="Times New Roman" w:hAnsi="Times New Roman" w:eastAsia="宋体" w:cs="Times New Roman"/>
          <w:color w:val="000000" w:themeColor="text1"/>
          <w:sz w:val="24"/>
          <w:lang w:val="zh-CN" w:eastAsia="zh-CN"/>
          <w14:textFill>
            <w14:solidFill>
              <w14:schemeClr w14:val="tx1"/>
            </w14:solidFill>
          </w14:textFill>
        </w:rPr>
        <w:t>以</w:t>
      </w:r>
      <w:r>
        <w:rPr>
          <w:rFonts w:hint="default" w:ascii="Times New Roman" w:hAnsi="Times New Roman" w:eastAsia="宋体" w:cs="Times New Roman"/>
          <w:color w:val="000000" w:themeColor="text1"/>
          <w:sz w:val="24"/>
          <w:lang w:val="zh-CN" w:eastAsia="zh-CN"/>
          <w14:textFill>
            <w14:solidFill>
              <w14:schemeClr w14:val="tx1"/>
            </w14:solidFill>
          </w14:textFill>
        </w:rPr>
        <w:t>历史资料调查分析为主、现场监测为辅。明确资料类型包括</w:t>
      </w:r>
      <w:r>
        <w:rPr>
          <w:rFonts w:hint="eastAsia" w:ascii="Times New Roman" w:hAnsi="Times New Roman" w:eastAsia="宋体" w:cs="Times New Roman"/>
          <w:color w:val="000000" w:themeColor="text1"/>
          <w:sz w:val="24"/>
          <w:lang w:val="en-US" w:eastAsia="zh-CN"/>
          <w14:textFill>
            <w14:solidFill>
              <w14:schemeClr w14:val="tx1"/>
            </w14:solidFill>
          </w14:textFill>
        </w:rPr>
        <w:t>地质勘查</w:t>
      </w:r>
      <w:r>
        <w:rPr>
          <w:rFonts w:hint="eastAsia" w:ascii="Times New Roman" w:hAnsi="Times New Roman" w:eastAsia="宋体" w:cs="Times New Roman"/>
          <w:color w:val="000000" w:themeColor="text1"/>
          <w:sz w:val="24"/>
          <w:lang w:val="zh-CN" w:eastAsia="zh-CN"/>
          <w14:textFill>
            <w14:solidFill>
              <w14:schemeClr w14:val="tx1"/>
            </w14:solidFill>
          </w14:textFill>
        </w:rPr>
        <w:t>报告、</w:t>
      </w:r>
      <w:r>
        <w:rPr>
          <w:rFonts w:hint="eastAsia" w:ascii="Times New Roman" w:hAnsi="Times New Roman" w:eastAsia="宋体" w:cs="Times New Roman"/>
          <w:color w:val="000000" w:themeColor="text1"/>
          <w:sz w:val="24"/>
          <w:lang w:val="en-US" w:eastAsia="zh-CN"/>
          <w14:textFill>
            <w14:solidFill>
              <w14:schemeClr w14:val="tx1"/>
            </w14:solidFill>
          </w14:textFill>
        </w:rPr>
        <w:t>环境影响评价文件</w:t>
      </w:r>
      <w:r>
        <w:rPr>
          <w:rFonts w:hint="default"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钻孔生产前</w:t>
      </w:r>
      <w:r>
        <w:rPr>
          <w:rFonts w:hint="default" w:ascii="Times New Roman" w:hAnsi="Times New Roman" w:eastAsia="宋体" w:cs="Times New Roman"/>
          <w:color w:val="000000" w:themeColor="text1"/>
          <w:sz w:val="24"/>
          <w:lang w:val="zh-CN" w:eastAsia="zh-CN"/>
          <w14:textFill>
            <w14:solidFill>
              <w14:schemeClr w14:val="tx1"/>
            </w14:solidFill>
          </w14:textFill>
        </w:rPr>
        <w:t>监测数据、区域地下水本底</w:t>
      </w:r>
      <w:r>
        <w:rPr>
          <w:rFonts w:hint="eastAsia" w:ascii="Times New Roman" w:hAnsi="Times New Roman" w:eastAsia="宋体" w:cs="Times New Roman"/>
          <w:color w:val="000000" w:themeColor="text1"/>
          <w:sz w:val="24"/>
          <w:lang w:val="en-US" w:eastAsia="zh-CN"/>
          <w14:textFill>
            <w14:solidFill>
              <w14:schemeClr w14:val="tx1"/>
            </w14:solidFill>
          </w14:textFill>
        </w:rPr>
        <w:t>水平</w:t>
      </w:r>
      <w:r>
        <w:rPr>
          <w:rFonts w:hint="default" w:ascii="Times New Roman" w:hAnsi="Times New Roman" w:eastAsia="宋体" w:cs="Times New Roman"/>
          <w:color w:val="000000" w:themeColor="text1"/>
          <w:sz w:val="24"/>
          <w:lang w:val="zh-CN" w:eastAsia="zh-CN"/>
          <w14:textFill>
            <w14:solidFill>
              <w14:schemeClr w14:val="tx1"/>
            </w14:solidFill>
          </w14:textFill>
        </w:rPr>
        <w:t>调查报告等。针对历史本底数据缺失、原有数据不完整、代表性不足的老旧矿山</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充分</w:t>
      </w:r>
      <w:r>
        <w:rPr>
          <w:rFonts w:hint="default" w:ascii="Times New Roman" w:hAnsi="Times New Roman" w:eastAsia="宋体" w:cs="Times New Roman"/>
          <w:color w:val="000000" w:themeColor="text1"/>
          <w:sz w:val="24"/>
          <w:lang w:val="zh-CN" w:eastAsia="zh-CN"/>
          <w14:textFill>
            <w14:solidFill>
              <w14:schemeClr w14:val="tx1"/>
            </w14:solidFill>
          </w14:textFill>
        </w:rPr>
        <w:t>利用</w:t>
      </w:r>
      <w:r>
        <w:rPr>
          <w:rFonts w:hint="eastAsia" w:ascii="Times New Roman" w:hAnsi="Times New Roman" w:eastAsia="宋体" w:cs="Times New Roman"/>
          <w:color w:val="000000" w:themeColor="text1"/>
          <w:sz w:val="24"/>
          <w:lang w:val="en-US" w:eastAsia="zh-CN"/>
          <w14:textFill>
            <w14:solidFill>
              <w14:schemeClr w14:val="tx1"/>
            </w14:solidFill>
          </w14:textFill>
        </w:rPr>
        <w:t>原开采区域</w:t>
      </w:r>
      <w:r>
        <w:rPr>
          <w:rFonts w:hint="default" w:ascii="Times New Roman" w:hAnsi="Times New Roman" w:eastAsia="宋体" w:cs="Times New Roman"/>
          <w:color w:val="000000" w:themeColor="text1"/>
          <w:sz w:val="24"/>
          <w:lang w:val="zh-CN" w:eastAsia="zh-CN"/>
          <w14:textFill>
            <w14:solidFill>
              <w14:schemeClr w14:val="tx1"/>
            </w14:solidFill>
          </w14:textFill>
        </w:rPr>
        <w:t>外围未受开采</w:t>
      </w:r>
      <w:r>
        <w:rPr>
          <w:rFonts w:hint="eastAsia" w:ascii="Times New Roman" w:hAnsi="Times New Roman" w:eastAsia="宋体" w:cs="Times New Roman"/>
          <w:color w:val="000000" w:themeColor="text1"/>
          <w:sz w:val="24"/>
          <w:lang w:val="en-US" w:eastAsia="zh-CN"/>
          <w14:textFill>
            <w14:solidFill>
              <w14:schemeClr w14:val="tx1"/>
            </w14:solidFill>
          </w14:textFill>
        </w:rPr>
        <w:t>影响</w:t>
      </w:r>
      <w:r>
        <w:rPr>
          <w:rFonts w:hint="default" w:ascii="Times New Roman" w:hAnsi="Times New Roman" w:eastAsia="宋体" w:cs="Times New Roman"/>
          <w:color w:val="000000" w:themeColor="text1"/>
          <w:sz w:val="24"/>
          <w:lang w:val="zh-CN" w:eastAsia="zh-CN"/>
          <w14:textFill>
            <w14:solidFill>
              <w14:schemeClr w14:val="tx1"/>
            </w14:solidFill>
          </w14:textFill>
        </w:rPr>
        <w:t>的周边监测井天然水质数据辅助判定天然本底；当外围监测仍无法支撑本底确定时，</w:t>
      </w:r>
      <w:r>
        <w:rPr>
          <w:rFonts w:hint="eastAsia" w:ascii="Times New Roman" w:hAnsi="Times New Roman" w:eastAsia="宋体" w:cs="Times New Roman"/>
          <w:color w:val="000000" w:themeColor="text1"/>
          <w:sz w:val="24"/>
          <w:lang w:val="en-US" w:eastAsia="zh-CN"/>
          <w14:textFill>
            <w14:solidFill>
              <w14:schemeClr w14:val="tx1"/>
            </w14:solidFill>
          </w14:textFill>
        </w:rPr>
        <w:t>考虑</w:t>
      </w:r>
      <w:r>
        <w:rPr>
          <w:rFonts w:hint="default" w:ascii="Times New Roman" w:hAnsi="Times New Roman" w:eastAsia="宋体" w:cs="Times New Roman"/>
          <w:color w:val="000000" w:themeColor="text1"/>
          <w:sz w:val="24"/>
          <w:lang w:val="zh-CN" w:eastAsia="zh-CN"/>
          <w14:textFill>
            <w14:solidFill>
              <w14:schemeClr w14:val="tx1"/>
            </w14:solidFill>
          </w14:textFill>
        </w:rPr>
        <w:t>开展补充监测获取</w:t>
      </w:r>
      <w:r>
        <w:rPr>
          <w:rFonts w:hint="eastAsia" w:ascii="Times New Roman" w:hAnsi="Times New Roman" w:eastAsia="宋体" w:cs="Times New Roman"/>
          <w:color w:val="000000" w:themeColor="text1"/>
          <w:sz w:val="24"/>
          <w:lang w:val="zh-CN" w:eastAsia="zh-CN"/>
          <w14:textFill>
            <w14:solidFill>
              <w14:schemeClr w14:val="tx1"/>
            </w14:solidFill>
          </w14:textFill>
        </w:rPr>
        <w:t>本底</w:t>
      </w:r>
      <w:r>
        <w:rPr>
          <w:rFonts w:hint="default" w:ascii="Times New Roman" w:hAnsi="Times New Roman" w:eastAsia="宋体" w:cs="Times New Roman"/>
          <w:color w:val="000000" w:themeColor="text1"/>
          <w:sz w:val="24"/>
          <w:lang w:val="zh-CN" w:eastAsia="zh-CN"/>
          <w14:textFill>
            <w14:solidFill>
              <w14:schemeClr w14:val="tx1"/>
            </w14:solidFill>
          </w14:textFill>
        </w:rPr>
        <w:t>数据。</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黑体" w:hAnsi="黑体" w:eastAsia="黑体"/>
          <w:kern w:val="0"/>
          <w:sz w:val="24"/>
          <w:lang w:val="en-US" w:eastAsia="zh-CN"/>
        </w:rPr>
      </w:pPr>
      <w:r>
        <w:rPr>
          <w:rFonts w:hint="eastAsia" w:ascii="黑体" w:hAnsi="黑体" w:eastAsia="黑体"/>
          <w:kern w:val="0"/>
          <w:sz w:val="24"/>
          <w:lang w:val="en-US" w:eastAsia="zh-CN"/>
        </w:rPr>
        <w:t>2.2.2 使用功能</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default" w:ascii="Times New Roman" w:hAnsi="Times New Roman" w:eastAsia="宋体" w:cs="Times New Roman"/>
          <w:color w:val="000000" w:themeColor="text1"/>
          <w:sz w:val="24"/>
          <w:lang w:val="zh-CN" w:eastAsia="zh-CN"/>
          <w14:textFill>
            <w14:solidFill>
              <w14:schemeClr w14:val="tx1"/>
            </w14:solidFill>
          </w14:textFill>
        </w:rPr>
        <w:t>地下水使用功能划分是选取对应水质</w:t>
      </w:r>
      <w:r>
        <w:rPr>
          <w:rFonts w:hint="eastAsia" w:ascii="Times New Roman" w:hAnsi="Times New Roman" w:eastAsia="宋体" w:cs="Times New Roman"/>
          <w:color w:val="000000" w:themeColor="text1"/>
          <w:sz w:val="24"/>
          <w:lang w:val="zh-CN" w:eastAsia="zh-CN"/>
          <w14:textFill>
            <w14:solidFill>
              <w14:schemeClr w14:val="tx1"/>
            </w14:solidFill>
          </w14:textFill>
        </w:rPr>
        <w:t>修复</w:t>
      </w:r>
      <w:r>
        <w:rPr>
          <w:rFonts w:hint="default" w:ascii="Times New Roman" w:hAnsi="Times New Roman" w:eastAsia="宋体" w:cs="Times New Roman"/>
          <w:color w:val="000000" w:themeColor="text1"/>
          <w:sz w:val="24"/>
          <w:lang w:val="zh-CN" w:eastAsia="zh-CN"/>
          <w14:textFill>
            <w14:solidFill>
              <w14:schemeClr w14:val="tx1"/>
            </w14:solidFill>
          </w14:textFill>
        </w:rPr>
        <w:t>标准的前提条件。地下水修复严格程度取决于地下水利用用途，因此需全面调查</w:t>
      </w:r>
      <w:r>
        <w:rPr>
          <w:rFonts w:hint="eastAsia" w:ascii="Times New Roman" w:hAnsi="Times New Roman" w:eastAsia="宋体" w:cs="Times New Roman"/>
          <w:color w:val="000000" w:themeColor="text1"/>
          <w:sz w:val="24"/>
          <w:lang w:val="en-US" w:eastAsia="zh-CN"/>
          <w14:textFill>
            <w14:solidFill>
              <w14:schemeClr w14:val="tx1"/>
            </w14:solidFill>
          </w14:textFill>
        </w:rPr>
        <w:t>原开采区域</w:t>
      </w:r>
      <w:r>
        <w:rPr>
          <w:rFonts w:hint="eastAsia" w:ascii="Times New Roman" w:hAnsi="Times New Roman" w:eastAsia="宋体" w:cs="Times New Roman"/>
          <w:color w:val="000000" w:themeColor="text1"/>
          <w:sz w:val="24"/>
          <w:lang w:val="zh-CN" w:eastAsia="zh-CN"/>
          <w14:textFill>
            <w14:solidFill>
              <w14:schemeClr w14:val="tx1"/>
            </w14:solidFill>
          </w14:textFill>
        </w:rPr>
        <w:t>及周边地下水使用现状和地下水资源规划，</w:t>
      </w:r>
      <w:r>
        <w:rPr>
          <w:rFonts w:hint="default" w:ascii="Times New Roman" w:hAnsi="Times New Roman" w:eastAsia="宋体" w:cs="Times New Roman"/>
          <w:color w:val="000000" w:themeColor="text1"/>
          <w:sz w:val="24"/>
          <w:lang w:val="zh-CN" w:eastAsia="zh-CN"/>
          <w14:textFill>
            <w14:solidFill>
              <w14:schemeClr w14:val="tx1"/>
            </w14:solidFill>
          </w14:textFill>
        </w:rPr>
        <w:t>明确</w:t>
      </w:r>
      <w:r>
        <w:rPr>
          <w:rFonts w:hint="eastAsia" w:ascii="Times New Roman" w:hAnsi="Times New Roman" w:eastAsia="宋体" w:cs="Times New Roman"/>
          <w:color w:val="000000" w:themeColor="text1"/>
          <w:sz w:val="24"/>
          <w:lang w:val="zh-CN" w:eastAsia="zh-CN"/>
          <w14:textFill>
            <w14:solidFill>
              <w14:schemeClr w14:val="tx1"/>
            </w14:solidFill>
          </w14:textFill>
        </w:rPr>
        <w:t>地下水使用现状和潜在用途</w:t>
      </w:r>
      <w:r>
        <w:rPr>
          <w:rFonts w:hint="default" w:ascii="Times New Roman" w:hAnsi="Times New Roman" w:eastAsia="宋体" w:cs="Times New Roman"/>
          <w:color w:val="000000" w:themeColor="text1"/>
          <w:sz w:val="24"/>
          <w:lang w:val="zh-CN" w:eastAsia="zh-CN"/>
          <w14:textFill>
            <w14:solidFill>
              <w14:schemeClr w14:val="tx1"/>
            </w14:solidFill>
          </w14:textFill>
        </w:rPr>
        <w:t>。</w:t>
      </w:r>
    </w:p>
    <w:p>
      <w:pPr>
        <w:spacing w:line="360" w:lineRule="auto"/>
        <w:ind w:firstLine="480"/>
        <w:rPr>
          <w:rFonts w:hint="eastAsia" w:ascii="Times New Roman" w:hAnsi="Times New Roman" w:eastAsia="宋体" w:cs="Times New Roman"/>
          <w:color w:val="000000" w:themeColor="text1"/>
          <w:sz w:val="24"/>
          <w:lang w:val="en-US"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结合地下水</w:t>
      </w:r>
      <w:r>
        <w:rPr>
          <w:rFonts w:hint="eastAsia" w:ascii="Times New Roman" w:hAnsi="Times New Roman" w:eastAsia="宋体" w:cs="Times New Roman"/>
          <w:color w:val="000000" w:themeColor="text1"/>
          <w:sz w:val="24"/>
          <w:lang w:val="zh-CN" w:eastAsia="zh-CN"/>
          <w14:textFill>
            <w14:solidFill>
              <w14:schemeClr w14:val="tx1"/>
            </w14:solidFill>
          </w14:textFill>
        </w:rPr>
        <w:t>使用现状和潜在用途，</w:t>
      </w:r>
      <w:r>
        <w:rPr>
          <w:rFonts w:hint="eastAsia" w:ascii="Times New Roman" w:hAnsi="Times New Roman" w:eastAsia="宋体" w:cs="Times New Roman"/>
          <w:color w:val="000000" w:themeColor="text1"/>
          <w:sz w:val="24"/>
          <w:lang w:val="en-US" w:eastAsia="zh-CN"/>
          <w14:textFill>
            <w14:solidFill>
              <w14:schemeClr w14:val="tx1"/>
            </w14:solidFill>
          </w14:textFill>
        </w:rPr>
        <w:t>将地下水使用功能划分为生活饮用水、</w:t>
      </w:r>
      <w:r>
        <w:rPr>
          <w:rFonts w:hint="default" w:ascii="Times New Roman" w:hAnsi="Times New Roman" w:eastAsia="宋体" w:cs="Times New Roman"/>
          <w:color w:val="000000" w:themeColor="text1"/>
          <w:sz w:val="24"/>
          <w:lang w:val="zh-CN" w:eastAsia="zh-CN"/>
          <w14:textFill>
            <w14:solidFill>
              <w14:schemeClr w14:val="tx1"/>
            </w14:solidFill>
          </w14:textFill>
        </w:rPr>
        <w:t>工农业用水</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无使用功能</w:t>
      </w:r>
      <w:r>
        <w:rPr>
          <w:rFonts w:hint="eastAsia" w:ascii="Times New Roman" w:hAnsi="Times New Roman" w:eastAsia="宋体" w:cs="Times New Roman"/>
          <w:color w:val="000000" w:themeColor="text1"/>
          <w:sz w:val="24"/>
          <w:lang w:val="en-US" w:eastAsia="zh-CN"/>
          <w14:textFill>
            <w14:solidFill>
              <w14:schemeClr w14:val="tx1"/>
            </w14:solidFill>
          </w14:textFill>
        </w:rPr>
        <w:t>三类</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不同功能对应不同修复</w:t>
      </w:r>
      <w:r>
        <w:rPr>
          <w:rFonts w:hint="eastAsia" w:ascii="Times New Roman" w:hAnsi="Times New Roman" w:eastAsia="宋体" w:cs="Times New Roman"/>
          <w:color w:val="000000" w:themeColor="text1"/>
          <w:sz w:val="24"/>
          <w:lang w:val="en-US" w:eastAsia="zh-CN"/>
          <w14:textFill>
            <w14:solidFill>
              <w14:schemeClr w14:val="tx1"/>
            </w14:solidFill>
          </w14:textFill>
        </w:rPr>
        <w:t>目标值和修复措施</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生活饮用水功能要求最高，工农业用水次之，无使用功能</w:t>
      </w:r>
      <w:r>
        <w:rPr>
          <w:rFonts w:hint="eastAsia" w:ascii="Times New Roman" w:hAnsi="Times New Roman" w:eastAsia="宋体" w:cs="Times New Roman"/>
          <w:color w:val="000000" w:themeColor="text1"/>
          <w:sz w:val="24"/>
          <w:lang w:val="zh-CN" w:eastAsia="zh-CN"/>
          <w14:textFill>
            <w14:solidFill>
              <w14:schemeClr w14:val="tx1"/>
            </w14:solidFill>
          </w14:textFill>
        </w:rPr>
        <w:t>要求最低。</w:t>
      </w:r>
      <w:r>
        <w:rPr>
          <w:rFonts w:hint="default" w:ascii="Times New Roman" w:hAnsi="Times New Roman" w:eastAsia="宋体" w:cs="Times New Roman"/>
          <w:color w:val="000000" w:themeColor="text1"/>
          <w:sz w:val="24"/>
          <w:lang w:val="zh-CN" w:eastAsia="zh-CN"/>
          <w14:textFill>
            <w14:solidFill>
              <w14:schemeClr w14:val="tx1"/>
            </w14:solidFill>
          </w14:textFill>
        </w:rPr>
        <w:t>实现</w:t>
      </w:r>
      <w:r>
        <w:rPr>
          <w:rFonts w:hint="eastAsia" w:ascii="Times New Roman" w:hAnsi="Times New Roman" w:eastAsia="宋体" w:cs="Times New Roman"/>
          <w:color w:val="000000" w:themeColor="text1"/>
          <w:sz w:val="24"/>
          <w:lang w:val="en-US" w:eastAsia="zh-CN"/>
          <w14:textFill>
            <w14:solidFill>
              <w14:schemeClr w14:val="tx1"/>
            </w14:solidFill>
          </w14:textFill>
        </w:rPr>
        <w:t>不同</w:t>
      </w:r>
      <w:r>
        <w:rPr>
          <w:rFonts w:hint="default" w:ascii="Times New Roman" w:hAnsi="Times New Roman" w:eastAsia="宋体" w:cs="Times New Roman"/>
          <w:color w:val="000000" w:themeColor="text1"/>
          <w:sz w:val="24"/>
          <w:lang w:val="zh-CN" w:eastAsia="zh-CN"/>
          <w14:textFill>
            <w14:solidFill>
              <w14:schemeClr w14:val="tx1"/>
            </w14:solidFill>
          </w14:textFill>
        </w:rPr>
        <w:t>功能</w:t>
      </w:r>
      <w:r>
        <w:rPr>
          <w:rFonts w:hint="eastAsia" w:ascii="Times New Roman" w:hAnsi="Times New Roman" w:eastAsia="宋体" w:cs="Times New Roman"/>
          <w:color w:val="000000" w:themeColor="text1"/>
          <w:sz w:val="24"/>
          <w:lang w:val="zh-CN" w:eastAsia="zh-CN"/>
          <w14:textFill>
            <w14:solidFill>
              <w14:schemeClr w14:val="tx1"/>
            </w14:solidFill>
          </w14:textFill>
        </w:rPr>
        <w:t>与</w:t>
      </w:r>
      <w:r>
        <w:rPr>
          <w:rFonts w:hint="eastAsia" w:ascii="Times New Roman" w:hAnsi="Times New Roman" w:eastAsia="宋体" w:cs="Times New Roman"/>
          <w:color w:val="000000" w:themeColor="text1"/>
          <w:sz w:val="24"/>
          <w:lang w:val="en-US" w:eastAsia="zh-CN"/>
          <w14:textFill>
            <w14:solidFill>
              <w14:schemeClr w14:val="tx1"/>
            </w14:solidFill>
          </w14:textFill>
        </w:rPr>
        <w:t>不同</w:t>
      </w:r>
      <w:r>
        <w:rPr>
          <w:rFonts w:hint="default" w:ascii="Times New Roman" w:hAnsi="Times New Roman" w:eastAsia="宋体" w:cs="Times New Roman"/>
          <w:color w:val="000000" w:themeColor="text1"/>
          <w:sz w:val="24"/>
          <w:lang w:val="zh-CN" w:eastAsia="zh-CN"/>
          <w14:textFill>
            <w14:solidFill>
              <w14:schemeClr w14:val="tx1"/>
            </w14:solidFill>
          </w14:textFill>
        </w:rPr>
        <w:t>修复标准</w:t>
      </w:r>
      <w:r>
        <w:rPr>
          <w:rFonts w:hint="eastAsia" w:ascii="Times New Roman" w:hAnsi="Times New Roman" w:eastAsia="宋体" w:cs="Times New Roman"/>
          <w:color w:val="000000" w:themeColor="text1"/>
          <w:sz w:val="24"/>
          <w:lang w:val="zh-CN" w:eastAsia="zh-CN"/>
          <w14:textFill>
            <w14:solidFill>
              <w14:schemeClr w14:val="tx1"/>
            </w14:solidFill>
          </w14:textFill>
        </w:rPr>
        <w:t>的</w:t>
      </w:r>
      <w:r>
        <w:rPr>
          <w:rFonts w:hint="default" w:ascii="Times New Roman" w:hAnsi="Times New Roman" w:eastAsia="宋体" w:cs="Times New Roman"/>
          <w:color w:val="000000" w:themeColor="text1"/>
          <w:sz w:val="24"/>
          <w:lang w:val="zh-CN" w:eastAsia="zh-CN"/>
          <w14:textFill>
            <w14:solidFill>
              <w14:schemeClr w14:val="tx1"/>
            </w14:solidFill>
          </w14:textFill>
        </w:rPr>
        <w:t>匹配，是后续修复目标值分级确定的直接依据。</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hint="eastAsia" w:ascii="黑体" w:hAnsi="黑体" w:eastAsia="黑体"/>
          <w:kern w:val="0"/>
          <w:sz w:val="24"/>
          <w:lang w:val="en-US" w:eastAsia="zh-CN"/>
        </w:rPr>
      </w:pPr>
      <w:r>
        <w:rPr>
          <w:rFonts w:hint="eastAsia" w:ascii="黑体" w:hAnsi="黑体" w:eastAsia="黑体"/>
          <w:kern w:val="0"/>
          <w:sz w:val="24"/>
          <w:lang w:val="en-US" w:eastAsia="zh-CN"/>
        </w:rPr>
        <w:t>2</w:t>
      </w:r>
      <w:r>
        <w:rPr>
          <w:rFonts w:hint="eastAsia" w:ascii="黑体" w:hAnsi="黑体" w:eastAsia="黑体"/>
          <w:kern w:val="0"/>
          <w:sz w:val="24"/>
        </w:rPr>
        <w:t>.</w:t>
      </w:r>
      <w:r>
        <w:rPr>
          <w:rFonts w:hint="eastAsia" w:ascii="黑体" w:hAnsi="黑体" w:eastAsia="黑体"/>
          <w:kern w:val="0"/>
          <w:sz w:val="24"/>
          <w:lang w:val="en-US" w:eastAsia="zh-CN"/>
        </w:rPr>
        <w:t>3</w:t>
      </w:r>
      <w:r>
        <w:rPr>
          <w:rFonts w:hint="eastAsia" w:ascii="Times New Roman" w:hAnsi="Times New Roman" w:eastAsia="宋体" w:cs="Times New Roman"/>
          <w:kern w:val="0"/>
          <w:sz w:val="24"/>
          <w:szCs w:val="20"/>
          <w:lang w:val="en-US" w:eastAsia="zh-CN" w:bidi="ar-SA"/>
        </w:rPr>
        <w:t xml:space="preserve"> </w:t>
      </w:r>
      <w:r>
        <w:rPr>
          <w:rFonts w:hint="eastAsia" w:ascii="黑体" w:hAnsi="黑体" w:eastAsia="黑体"/>
          <w:kern w:val="0"/>
          <w:sz w:val="24"/>
          <w:lang w:val="en-US" w:eastAsia="zh-CN"/>
        </w:rPr>
        <w:t>源项调查</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源项调查</w:t>
      </w:r>
      <w:r>
        <w:rPr>
          <w:rFonts w:hint="default" w:ascii="Times New Roman" w:hAnsi="Times New Roman" w:eastAsia="宋体" w:cs="Times New Roman"/>
          <w:color w:val="000000" w:themeColor="text1"/>
          <w:sz w:val="24"/>
          <w:lang w:val="zh-CN" w:eastAsia="zh-CN"/>
          <w14:textFill>
            <w14:solidFill>
              <w14:schemeClr w14:val="tx1"/>
            </w14:solidFill>
          </w14:textFill>
        </w:rPr>
        <w:t>是</w:t>
      </w:r>
      <w:r>
        <w:rPr>
          <w:rFonts w:hint="eastAsia" w:ascii="Times New Roman" w:hAnsi="Times New Roman" w:eastAsia="宋体" w:cs="Times New Roman"/>
          <w:color w:val="000000" w:themeColor="text1"/>
          <w:sz w:val="24"/>
          <w:lang w:val="en-US" w:eastAsia="zh-CN"/>
          <w14:textFill>
            <w14:solidFill>
              <w14:schemeClr w14:val="tx1"/>
            </w14:solidFill>
          </w14:textFill>
        </w:rPr>
        <w:t>确定</w:t>
      </w:r>
      <w:r>
        <w:rPr>
          <w:rFonts w:hint="eastAsia" w:ascii="Times New Roman" w:hAnsi="Times New Roman" w:eastAsia="宋体" w:cs="Times New Roman"/>
          <w:color w:val="000000" w:themeColor="text1"/>
          <w:sz w:val="24"/>
          <w:lang w:val="zh-CN" w:eastAsia="zh-CN"/>
          <w14:textFill>
            <w14:solidFill>
              <w14:schemeClr w14:val="tx1"/>
            </w14:solidFill>
          </w14:textFill>
        </w:rPr>
        <w:t>地浸采铀</w:t>
      </w:r>
      <w:r>
        <w:rPr>
          <w:rFonts w:hint="eastAsia" w:ascii="Times New Roman" w:hAnsi="Times New Roman" w:eastAsia="宋体" w:cs="Times New Roman"/>
          <w:color w:val="000000" w:themeColor="text1"/>
          <w:sz w:val="24"/>
          <w:lang w:val="en-US" w:eastAsia="zh-CN"/>
          <w14:textFill>
            <w14:solidFill>
              <w14:schemeClr w14:val="tx1"/>
            </w14:solidFill>
          </w14:textFill>
        </w:rPr>
        <w:t>地下水</w:t>
      </w:r>
      <w:r>
        <w:rPr>
          <w:rFonts w:hint="default" w:ascii="Times New Roman" w:hAnsi="Times New Roman" w:eastAsia="宋体" w:cs="Times New Roman"/>
          <w:color w:val="000000" w:themeColor="text1"/>
          <w:sz w:val="24"/>
          <w:lang w:val="zh-CN" w:eastAsia="zh-CN"/>
          <w14:textFill>
            <w14:solidFill>
              <w14:schemeClr w14:val="tx1"/>
            </w14:solidFill>
          </w14:textFill>
        </w:rPr>
        <w:t>修复</w:t>
      </w:r>
      <w:r>
        <w:rPr>
          <w:rFonts w:hint="eastAsia" w:ascii="Times New Roman" w:hAnsi="Times New Roman" w:eastAsia="宋体" w:cs="Times New Roman"/>
          <w:color w:val="000000" w:themeColor="text1"/>
          <w:sz w:val="24"/>
          <w:lang w:val="en-US" w:eastAsia="zh-CN"/>
          <w14:textFill>
            <w14:solidFill>
              <w14:schemeClr w14:val="tx1"/>
            </w14:solidFill>
          </w14:textFill>
        </w:rPr>
        <w:t>特征因子与修复范围的重要依据。</w:t>
      </w:r>
      <w:r>
        <w:rPr>
          <w:rFonts w:hint="default" w:ascii="Times New Roman" w:hAnsi="Times New Roman" w:eastAsia="宋体" w:cs="Times New Roman"/>
          <w:color w:val="000000" w:themeColor="text1"/>
          <w:sz w:val="24"/>
          <w:lang w:val="zh-CN" w:eastAsia="zh-CN"/>
          <w14:textFill>
            <w14:solidFill>
              <w14:schemeClr w14:val="tx1"/>
            </w14:solidFill>
          </w14:textFill>
        </w:rPr>
        <w:t>本部分</w:t>
      </w:r>
      <w:r>
        <w:rPr>
          <w:rFonts w:hint="eastAsia" w:ascii="Times New Roman" w:hAnsi="Times New Roman" w:eastAsia="宋体" w:cs="Times New Roman"/>
          <w:color w:val="000000" w:themeColor="text1"/>
          <w:sz w:val="24"/>
          <w:lang w:val="en-US" w:eastAsia="zh-CN"/>
          <w14:textFill>
            <w14:solidFill>
              <w14:schemeClr w14:val="tx1"/>
            </w14:solidFill>
          </w14:textFill>
        </w:rPr>
        <w:t>规定了</w:t>
      </w:r>
      <w:r>
        <w:rPr>
          <w:rFonts w:hint="default" w:ascii="Times New Roman" w:hAnsi="Times New Roman" w:eastAsia="宋体" w:cs="Times New Roman"/>
          <w:color w:val="000000" w:themeColor="text1"/>
          <w:sz w:val="24"/>
          <w:lang w:val="zh-CN" w:eastAsia="zh-CN"/>
          <w14:textFill>
            <w14:solidFill>
              <w14:schemeClr w14:val="tx1"/>
            </w14:solidFill>
          </w14:textFill>
        </w:rPr>
        <w:t>地下水</w:t>
      </w:r>
      <w:r>
        <w:rPr>
          <w:rFonts w:hint="eastAsia" w:ascii="Times New Roman" w:hAnsi="Times New Roman" w:eastAsia="宋体" w:cs="Times New Roman"/>
          <w:color w:val="000000" w:themeColor="text1"/>
          <w:sz w:val="24"/>
          <w:lang w:val="en-US" w:eastAsia="zh-CN"/>
          <w14:textFill>
            <w14:solidFill>
              <w14:schemeClr w14:val="tx1"/>
            </w14:solidFill>
          </w14:textFill>
        </w:rPr>
        <w:t>源项调查</w:t>
      </w:r>
      <w:r>
        <w:rPr>
          <w:rFonts w:hint="default" w:ascii="Times New Roman" w:hAnsi="Times New Roman" w:eastAsia="宋体" w:cs="Times New Roman"/>
          <w:color w:val="000000" w:themeColor="text1"/>
          <w:sz w:val="24"/>
          <w:lang w:val="zh-CN" w:eastAsia="zh-CN"/>
          <w14:textFill>
            <w14:solidFill>
              <w14:schemeClr w14:val="tx1"/>
            </w14:solidFill>
          </w14:textFill>
        </w:rPr>
        <w:t>范围、</w:t>
      </w:r>
      <w:r>
        <w:rPr>
          <w:rFonts w:hint="eastAsia" w:ascii="Times New Roman" w:hAnsi="Times New Roman" w:eastAsia="宋体" w:cs="Times New Roman"/>
          <w:color w:val="000000" w:themeColor="text1"/>
          <w:sz w:val="24"/>
          <w:lang w:val="en-US" w:eastAsia="zh-CN"/>
          <w14:textFill>
            <w14:solidFill>
              <w14:schemeClr w14:val="tx1"/>
            </w14:solidFill>
          </w14:textFill>
        </w:rPr>
        <w:t>开展依据、</w:t>
      </w:r>
      <w:r>
        <w:rPr>
          <w:rFonts w:hint="default" w:ascii="Times New Roman" w:hAnsi="Times New Roman" w:eastAsia="宋体" w:cs="Times New Roman"/>
          <w:color w:val="000000" w:themeColor="text1"/>
          <w:sz w:val="24"/>
          <w:lang w:val="zh-CN" w:eastAsia="zh-CN"/>
          <w14:textFill>
            <w14:solidFill>
              <w14:schemeClr w14:val="tx1"/>
            </w14:solidFill>
          </w14:textFill>
        </w:rPr>
        <w:t>资料</w:t>
      </w:r>
      <w:r>
        <w:rPr>
          <w:rFonts w:hint="eastAsia" w:ascii="Times New Roman" w:hAnsi="Times New Roman" w:eastAsia="宋体" w:cs="Times New Roman"/>
          <w:color w:val="000000" w:themeColor="text1"/>
          <w:sz w:val="24"/>
          <w:lang w:val="en-US" w:eastAsia="zh-CN"/>
          <w14:textFill>
            <w14:solidFill>
              <w14:schemeClr w14:val="tx1"/>
            </w14:solidFill>
          </w14:textFill>
        </w:rPr>
        <w:t>收集要求、监测方案</w:t>
      </w:r>
      <w:r>
        <w:rPr>
          <w:rFonts w:hint="default" w:ascii="Times New Roman" w:hAnsi="Times New Roman" w:eastAsia="宋体" w:cs="Times New Roman"/>
          <w:color w:val="000000" w:themeColor="text1"/>
          <w:sz w:val="24"/>
          <w:lang w:val="zh-CN" w:eastAsia="zh-CN"/>
          <w14:textFill>
            <w14:solidFill>
              <w14:schemeClr w14:val="tx1"/>
            </w14:solidFill>
          </w14:textFill>
        </w:rPr>
        <w:t>及</w:t>
      </w:r>
      <w:r>
        <w:rPr>
          <w:rFonts w:hint="eastAsia" w:ascii="Times New Roman" w:hAnsi="Times New Roman" w:eastAsia="宋体" w:cs="Times New Roman"/>
          <w:color w:val="000000" w:themeColor="text1"/>
          <w:sz w:val="24"/>
          <w:lang w:val="en-US" w:eastAsia="zh-CN"/>
          <w14:textFill>
            <w14:solidFill>
              <w14:schemeClr w14:val="tx1"/>
            </w14:solidFill>
          </w14:textFill>
        </w:rPr>
        <w:t>布点</w:t>
      </w:r>
      <w:r>
        <w:rPr>
          <w:rFonts w:hint="default" w:ascii="Times New Roman" w:hAnsi="Times New Roman" w:eastAsia="宋体" w:cs="Times New Roman"/>
          <w:color w:val="000000" w:themeColor="text1"/>
          <w:sz w:val="24"/>
          <w:lang w:val="zh-CN" w:eastAsia="zh-CN"/>
          <w14:textFill>
            <w14:solidFill>
              <w14:schemeClr w14:val="tx1"/>
            </w14:solidFill>
          </w14:textFill>
        </w:rPr>
        <w:t>要求</w:t>
      </w:r>
      <w:r>
        <w:rPr>
          <w:rFonts w:hint="eastAsia" w:ascii="Times New Roman" w:hAnsi="Times New Roman" w:eastAsia="宋体" w:cs="Times New Roman"/>
          <w:color w:val="000000" w:themeColor="text1"/>
          <w:sz w:val="24"/>
          <w:lang w:val="en-US" w:eastAsia="zh-CN"/>
          <w14:textFill>
            <w14:solidFill>
              <w14:schemeClr w14:val="tx1"/>
            </w14:solidFill>
          </w14:textFill>
        </w:rPr>
        <w:t>等</w:t>
      </w:r>
      <w:r>
        <w:rPr>
          <w:rFonts w:hint="default" w:ascii="Times New Roman" w:hAnsi="Times New Roman" w:eastAsia="宋体" w:cs="Times New Roman"/>
          <w:color w:val="000000" w:themeColor="text1"/>
          <w:sz w:val="24"/>
          <w:lang w:val="zh-CN" w:eastAsia="zh-CN"/>
          <w14:textFill>
            <w14:solidFill>
              <w14:schemeClr w14:val="tx1"/>
            </w14:solidFill>
          </w14:textFill>
        </w:rPr>
        <w:t>，为后续</w:t>
      </w:r>
      <w:r>
        <w:rPr>
          <w:rFonts w:hint="eastAsia" w:ascii="Times New Roman" w:hAnsi="Times New Roman" w:eastAsia="宋体" w:cs="Times New Roman"/>
          <w:color w:val="000000" w:themeColor="text1"/>
          <w:sz w:val="24"/>
          <w:lang w:val="zh-CN" w:eastAsia="zh-CN"/>
          <w14:textFill>
            <w14:solidFill>
              <w14:schemeClr w14:val="tx1"/>
            </w14:solidFill>
          </w14:textFill>
        </w:rPr>
        <w:t>地下水</w:t>
      </w:r>
      <w:r>
        <w:rPr>
          <w:rFonts w:hint="default" w:ascii="Times New Roman" w:hAnsi="Times New Roman" w:eastAsia="宋体" w:cs="Times New Roman"/>
          <w:color w:val="000000" w:themeColor="text1"/>
          <w:sz w:val="24"/>
          <w:lang w:val="zh-CN" w:eastAsia="zh-CN"/>
          <w14:textFill>
            <w14:solidFill>
              <w14:schemeClr w14:val="tx1"/>
            </w14:solidFill>
          </w14:textFill>
        </w:rPr>
        <w:t>修复目标科学确定提供基础支撑。</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源项调查范围</w:t>
      </w:r>
      <w:r>
        <w:rPr>
          <w:rFonts w:hint="eastAsia" w:ascii="Times New Roman" w:hAnsi="Times New Roman" w:eastAsia="宋体" w:cs="Times New Roman"/>
          <w:color w:val="000000" w:themeColor="text1"/>
          <w:sz w:val="24"/>
          <w:lang w:val="zh-CN" w:eastAsia="zh-CN"/>
          <w14:textFill>
            <w14:solidFill>
              <w14:schemeClr w14:val="tx1"/>
            </w14:solidFill>
          </w14:textFill>
        </w:rPr>
        <w:t>以</w:t>
      </w:r>
      <w:r>
        <w:rPr>
          <w:rFonts w:hint="default" w:ascii="Times New Roman" w:hAnsi="Times New Roman" w:eastAsia="宋体" w:cs="Times New Roman"/>
          <w:color w:val="000000" w:themeColor="text1"/>
          <w:sz w:val="24"/>
          <w:lang w:val="zh-CN" w:eastAsia="zh-CN"/>
          <w14:textFill>
            <w14:solidFill>
              <w14:schemeClr w14:val="tx1"/>
            </w14:solidFill>
          </w14:textFill>
        </w:rPr>
        <w:t>含矿含水层为核心</w:t>
      </w:r>
      <w:r>
        <w:rPr>
          <w:rFonts w:hint="eastAsia" w:ascii="Times New Roman" w:hAnsi="Times New Roman" w:eastAsia="宋体" w:cs="Times New Roman"/>
          <w:color w:val="000000" w:themeColor="text1"/>
          <w:sz w:val="24"/>
          <w:lang w:val="zh-CN" w:eastAsia="zh-CN"/>
          <w14:textFill>
            <w14:solidFill>
              <w14:schemeClr w14:val="tx1"/>
            </w14:solidFill>
          </w14:textFill>
        </w:rPr>
        <w:t>范围，</w:t>
      </w:r>
      <w:r>
        <w:rPr>
          <w:rFonts w:hint="eastAsia" w:ascii="Times New Roman" w:hAnsi="Times New Roman" w:eastAsia="宋体" w:cs="Times New Roman"/>
          <w:color w:val="000000" w:themeColor="text1"/>
          <w:sz w:val="24"/>
          <w:lang w:val="en-US" w:eastAsia="zh-CN"/>
          <w14:textFill>
            <w14:solidFill>
              <w14:schemeClr w14:val="tx1"/>
            </w14:solidFill>
          </w14:textFill>
        </w:rPr>
        <w:t>并延伸至监测井的区域，原则上利用原有生产井和监测井开展；开采涉及多个含矿含水层的，应对已开采的多个含矿含水层地下水开展</w:t>
      </w:r>
      <w:r>
        <w:rPr>
          <w:rFonts w:hint="default" w:ascii="Times New Roman" w:hAnsi="Times New Roman" w:eastAsia="宋体" w:cs="Times New Roman"/>
          <w:color w:val="000000" w:themeColor="text1"/>
          <w:sz w:val="24"/>
          <w:lang w:val="en-US" w:eastAsia="zh-CN"/>
          <w14:textFill>
            <w14:solidFill>
              <w14:schemeClr w14:val="tx1"/>
            </w14:solidFill>
          </w14:textFill>
        </w:rPr>
        <w:t>源项调查</w:t>
      </w:r>
      <w:r>
        <w:rPr>
          <w:rFonts w:hint="eastAsia" w:ascii="Times New Roman" w:hAnsi="Times New Roman" w:eastAsia="宋体" w:cs="Times New Roman"/>
          <w:color w:val="000000" w:themeColor="text1"/>
          <w:sz w:val="24"/>
          <w:lang w:val="en-US" w:eastAsia="zh-CN"/>
          <w14:textFill>
            <w14:solidFill>
              <w14:schemeClr w14:val="tx1"/>
            </w14:solidFill>
          </w14:textFill>
        </w:rPr>
        <w:t>；含矿含水层的上、下含水层监测井（若有）也应纳入</w:t>
      </w:r>
      <w:r>
        <w:rPr>
          <w:rFonts w:hint="default" w:ascii="Times New Roman" w:hAnsi="Times New Roman" w:eastAsia="宋体" w:cs="Times New Roman"/>
          <w:color w:val="000000" w:themeColor="text1"/>
          <w:sz w:val="24"/>
          <w:lang w:val="en-US" w:eastAsia="zh-CN"/>
          <w14:textFill>
            <w14:solidFill>
              <w14:schemeClr w14:val="tx1"/>
            </w14:solidFill>
          </w14:textFill>
        </w:rPr>
        <w:t>源项调查</w:t>
      </w:r>
      <w:r>
        <w:rPr>
          <w:rFonts w:hint="eastAsia" w:ascii="Times New Roman" w:hAnsi="Times New Roman" w:eastAsia="宋体" w:cs="Times New Roman"/>
          <w:color w:val="000000" w:themeColor="text1"/>
          <w:sz w:val="24"/>
          <w:lang w:val="en-US" w:eastAsia="zh-CN"/>
          <w14:textFill>
            <w14:solidFill>
              <w14:schemeClr w14:val="tx1"/>
            </w14:solidFill>
          </w14:textFill>
        </w:rPr>
        <w:t>范围</w:t>
      </w:r>
      <w:r>
        <w:rPr>
          <w:rFonts w:hint="default" w:ascii="Times New Roman" w:hAnsi="Times New Roman" w:eastAsia="宋体" w:cs="Times New Roman"/>
          <w:color w:val="000000" w:themeColor="text1"/>
          <w:sz w:val="24"/>
          <w:lang w:val="en-US"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收集的</w:t>
      </w:r>
      <w:r>
        <w:rPr>
          <w:rFonts w:hint="default" w:ascii="Times New Roman" w:hAnsi="Times New Roman" w:eastAsia="宋体" w:cs="Times New Roman"/>
          <w:color w:val="000000" w:themeColor="text1"/>
          <w:sz w:val="24"/>
          <w:lang w:val="zh-CN" w:eastAsia="zh-CN"/>
          <w14:textFill>
            <w14:solidFill>
              <w14:schemeClr w14:val="tx1"/>
            </w14:solidFill>
          </w14:textFill>
        </w:rPr>
        <w:t>资料应</w:t>
      </w:r>
      <w:r>
        <w:rPr>
          <w:rFonts w:hint="eastAsia" w:ascii="Times New Roman" w:hAnsi="Times New Roman" w:eastAsia="宋体" w:cs="Times New Roman"/>
          <w:color w:val="000000" w:themeColor="text1"/>
          <w:sz w:val="24"/>
          <w:lang w:val="en-US" w:eastAsia="zh-CN"/>
          <w14:textFill>
            <w14:solidFill>
              <w14:schemeClr w14:val="tx1"/>
            </w14:solidFill>
          </w14:textFill>
        </w:rPr>
        <w:t>包括生产</w:t>
      </w:r>
      <w:r>
        <w:rPr>
          <w:rFonts w:hint="default" w:ascii="Times New Roman" w:hAnsi="Times New Roman" w:eastAsia="宋体" w:cs="Times New Roman"/>
          <w:color w:val="000000" w:themeColor="text1"/>
          <w:sz w:val="24"/>
          <w:lang w:val="en-US" w:eastAsia="zh-CN"/>
          <w14:textFill>
            <w14:solidFill>
              <w14:schemeClr w14:val="tx1"/>
            </w14:solidFill>
          </w14:textFill>
        </w:rPr>
        <w:t>井和监测</w:t>
      </w:r>
      <w:r>
        <w:rPr>
          <w:rFonts w:hint="eastAsia" w:ascii="Times New Roman" w:hAnsi="Times New Roman" w:eastAsia="宋体" w:cs="Times New Roman"/>
          <w:color w:val="000000" w:themeColor="text1"/>
          <w:sz w:val="24"/>
          <w:lang w:val="en-US" w:eastAsia="zh-CN"/>
          <w14:textFill>
            <w14:solidFill>
              <w14:schemeClr w14:val="tx1"/>
            </w14:solidFill>
          </w14:textFill>
        </w:rPr>
        <w:t>井数量及布置、孔径、过滤器长度及层位、水位埋深等主要特征参数；含矿含水层与上、下含水层的水力连接情况；生产井浸出液多因子监测数据</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若有</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及日常监测数据、生产井停注浸出剂后日常监测数据、监测井日常监测数据等历史监测数据与其他相关资料，</w:t>
      </w:r>
      <w:r>
        <w:rPr>
          <w:rFonts w:hint="default" w:ascii="Times New Roman" w:hAnsi="Times New Roman" w:eastAsia="宋体" w:cs="Times New Roman"/>
          <w:color w:val="000000" w:themeColor="text1"/>
          <w:sz w:val="24"/>
          <w:lang w:val="zh-CN" w:eastAsia="zh-CN"/>
          <w14:textFill>
            <w14:solidFill>
              <w14:schemeClr w14:val="tx1"/>
            </w14:solidFill>
          </w14:textFill>
        </w:rPr>
        <w:t>初步判断</w:t>
      </w:r>
      <w:r>
        <w:rPr>
          <w:rFonts w:hint="eastAsia" w:ascii="Times New Roman" w:hAnsi="Times New Roman" w:eastAsia="宋体" w:cs="Times New Roman"/>
          <w:color w:val="000000" w:themeColor="text1"/>
          <w:sz w:val="24"/>
          <w:lang w:val="en-US" w:eastAsia="zh-CN"/>
          <w14:textFill>
            <w14:solidFill>
              <w14:schemeClr w14:val="tx1"/>
            </w14:solidFill>
          </w14:textFill>
        </w:rPr>
        <w:t>终</w:t>
      </w:r>
      <w:r>
        <w:rPr>
          <w:rFonts w:hint="default" w:ascii="Times New Roman" w:hAnsi="Times New Roman" w:eastAsia="宋体" w:cs="Times New Roman"/>
          <w:color w:val="000000" w:themeColor="text1"/>
          <w:sz w:val="24"/>
          <w:lang w:val="zh-CN" w:eastAsia="zh-CN"/>
          <w14:textFill>
            <w14:solidFill>
              <w14:schemeClr w14:val="tx1"/>
            </w14:solidFill>
          </w14:textFill>
        </w:rPr>
        <w:t>采区的</w:t>
      </w:r>
      <w:r>
        <w:rPr>
          <w:rFonts w:hint="eastAsia" w:ascii="Times New Roman" w:hAnsi="Times New Roman" w:eastAsia="宋体" w:cs="Times New Roman"/>
          <w:color w:val="000000" w:themeColor="text1"/>
          <w:sz w:val="24"/>
          <w:lang w:val="en-US" w:eastAsia="zh-CN"/>
          <w14:textFill>
            <w14:solidFill>
              <w14:schemeClr w14:val="tx1"/>
            </w14:solidFill>
          </w14:textFill>
        </w:rPr>
        <w:t>潜在</w:t>
      </w:r>
      <w:r>
        <w:rPr>
          <w:rFonts w:hint="default" w:ascii="Times New Roman" w:hAnsi="Times New Roman" w:eastAsia="宋体" w:cs="Times New Roman"/>
          <w:color w:val="000000" w:themeColor="text1"/>
          <w:sz w:val="24"/>
          <w:lang w:val="zh-CN" w:eastAsia="zh-CN"/>
          <w14:textFill>
            <w14:solidFill>
              <w14:schemeClr w14:val="tx1"/>
            </w14:solidFill>
          </w14:textFill>
        </w:rPr>
        <w:t>特征因子类型</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环境影响范围。</w:t>
      </w:r>
    </w:p>
    <w:p>
      <w:pPr>
        <w:spacing w:line="360" w:lineRule="auto"/>
        <w:ind w:firstLine="480"/>
        <w:rPr>
          <w:rFonts w:hint="default" w:ascii="Times New Roman" w:hAnsi="Times New Roman" w:eastAsia="宋体" w:cs="Times New Roman"/>
          <w:color w:val="000000" w:themeColor="text1"/>
          <w:sz w:val="24"/>
          <w:lang w:val="zh-CN" w:eastAsia="zh-CN"/>
          <w14:textFill>
            <w14:solidFill>
              <w14:schemeClr w14:val="tx1"/>
            </w14:solidFill>
          </w14:textFill>
        </w:rPr>
      </w:pPr>
      <w:r>
        <w:rPr>
          <w:rFonts w:hint="eastAsia" w:ascii="Times New Roman" w:hAnsi="Times New Roman" w:eastAsia="宋体" w:cs="Times New Roman"/>
          <w:color w:val="000000" w:themeColor="text1"/>
          <w:sz w:val="24"/>
          <w:lang w:val="en-US" w:eastAsia="zh-CN"/>
          <w14:textFill>
            <w14:solidFill>
              <w14:schemeClr w14:val="tx1"/>
            </w14:solidFill>
          </w14:textFill>
        </w:rPr>
        <w:t>根据</w:t>
      </w:r>
      <w:r>
        <w:rPr>
          <w:rFonts w:hint="default" w:ascii="Times New Roman" w:hAnsi="Times New Roman" w:eastAsia="宋体" w:cs="Times New Roman"/>
          <w:color w:val="000000" w:themeColor="text1"/>
          <w:sz w:val="24"/>
          <w:lang w:val="en-US" w:eastAsia="zh-CN"/>
          <w14:textFill>
            <w14:solidFill>
              <w14:schemeClr w14:val="tx1"/>
            </w14:solidFill>
          </w14:textFill>
        </w:rPr>
        <w:t>GB14586、GB23726、GB23727</w:t>
      </w:r>
      <w:r>
        <w:rPr>
          <w:rFonts w:hint="eastAsia" w:ascii="Times New Roman" w:hAnsi="Times New Roman" w:eastAsia="宋体" w:cs="Times New Roman"/>
          <w:color w:val="000000" w:themeColor="text1"/>
          <w:sz w:val="24"/>
          <w:lang w:val="en-US" w:eastAsia="zh-CN"/>
          <w14:textFill>
            <w14:solidFill>
              <w14:schemeClr w14:val="tx1"/>
            </w14:solidFill>
          </w14:textFill>
        </w:rPr>
        <w:t>、</w:t>
      </w:r>
      <w:r>
        <w:rPr>
          <w:rFonts w:hint="default" w:ascii="Times New Roman" w:hAnsi="Times New Roman" w:eastAsia="宋体" w:cs="Times New Roman"/>
          <w:color w:val="000000" w:themeColor="text1"/>
          <w:sz w:val="24"/>
          <w:lang w:val="en-US" w:eastAsia="zh-CN"/>
          <w14:textFill>
            <w14:solidFill>
              <w14:schemeClr w14:val="tx1"/>
            </w14:solidFill>
          </w14:textFill>
        </w:rPr>
        <w:t>HJ1015.2</w:t>
      </w:r>
      <w:r>
        <w:rPr>
          <w:rFonts w:hint="eastAsia" w:ascii="Times New Roman" w:hAnsi="Times New Roman" w:eastAsia="宋体" w:cs="Times New Roman"/>
          <w:color w:val="000000" w:themeColor="text1"/>
          <w:sz w:val="24"/>
          <w:lang w:val="en-US" w:eastAsia="zh-CN"/>
          <w14:textFill>
            <w14:solidFill>
              <w14:schemeClr w14:val="tx1"/>
            </w14:solidFill>
          </w14:textFill>
        </w:rPr>
        <w:t>相关要求，</w:t>
      </w:r>
      <w:r>
        <w:rPr>
          <w:rFonts w:hint="default" w:ascii="Times New Roman" w:hAnsi="Times New Roman" w:eastAsia="宋体" w:cs="Times New Roman"/>
          <w:color w:val="000000" w:themeColor="text1"/>
          <w:sz w:val="24"/>
          <w:lang w:val="zh-CN" w:eastAsia="zh-CN"/>
          <w14:textFill>
            <w14:solidFill>
              <w14:schemeClr w14:val="tx1"/>
            </w14:solidFill>
          </w14:textFill>
        </w:rPr>
        <w:t>结合地浸</w:t>
      </w:r>
      <w:r>
        <w:rPr>
          <w:rFonts w:hint="eastAsia" w:ascii="Times New Roman" w:hAnsi="Times New Roman" w:eastAsia="宋体" w:cs="Times New Roman"/>
          <w:color w:val="000000" w:themeColor="text1"/>
          <w:sz w:val="24"/>
          <w:lang w:val="en-US" w:eastAsia="zh-CN"/>
          <w14:textFill>
            <w14:solidFill>
              <w14:schemeClr w14:val="tx1"/>
            </w14:solidFill>
          </w14:textFill>
        </w:rPr>
        <w:t>采</w:t>
      </w:r>
      <w:r>
        <w:rPr>
          <w:rFonts w:hint="default" w:ascii="Times New Roman" w:hAnsi="Times New Roman" w:eastAsia="宋体" w:cs="Times New Roman"/>
          <w:color w:val="000000" w:themeColor="text1"/>
          <w:sz w:val="24"/>
          <w:lang w:val="zh-CN" w:eastAsia="zh-CN"/>
          <w14:textFill>
            <w14:solidFill>
              <w14:schemeClr w14:val="tx1"/>
            </w14:solidFill>
          </w14:textFill>
        </w:rPr>
        <w:t>铀实际生产特征，</w:t>
      </w:r>
      <w:r>
        <w:rPr>
          <w:rFonts w:hint="eastAsia" w:ascii="Times New Roman" w:hAnsi="Times New Roman" w:eastAsia="宋体" w:cs="Times New Roman"/>
          <w:color w:val="000000" w:themeColor="text1"/>
          <w:sz w:val="24"/>
          <w:lang w:val="en-US" w:eastAsia="zh-CN"/>
          <w14:textFill>
            <w14:solidFill>
              <w14:schemeClr w14:val="tx1"/>
            </w14:solidFill>
          </w14:textFill>
        </w:rPr>
        <w:t>制定源项调查监测方案，明确监测指标、监测点位和其他监测要求等，</w:t>
      </w:r>
      <w:r>
        <w:rPr>
          <w:rFonts w:hint="default" w:ascii="Times New Roman" w:hAnsi="Times New Roman" w:eastAsia="宋体" w:cs="Times New Roman"/>
          <w:color w:val="000000" w:themeColor="text1"/>
          <w:sz w:val="24"/>
          <w:lang w:val="en-US" w:eastAsia="zh-CN"/>
          <w14:textFill>
            <w14:solidFill>
              <w14:schemeClr w14:val="tx1"/>
            </w14:solidFill>
          </w14:textFill>
        </w:rPr>
        <w:t>开展</w:t>
      </w:r>
      <w:r>
        <w:rPr>
          <w:rFonts w:hint="eastAsia" w:ascii="Times New Roman" w:hAnsi="Times New Roman" w:eastAsia="宋体" w:cs="Times New Roman"/>
          <w:color w:val="000000" w:themeColor="text1"/>
          <w:sz w:val="24"/>
          <w:lang w:val="en-US" w:eastAsia="zh-CN"/>
          <w14:textFill>
            <w14:solidFill>
              <w14:schemeClr w14:val="tx1"/>
            </w14:solidFill>
          </w14:textFill>
        </w:rPr>
        <w:t>现场监测与取</w:t>
      </w:r>
      <w:r>
        <w:rPr>
          <w:rFonts w:hint="default" w:ascii="Times New Roman" w:hAnsi="Times New Roman" w:eastAsia="宋体" w:cs="Times New Roman"/>
          <w:color w:val="000000" w:themeColor="text1"/>
          <w:sz w:val="24"/>
          <w:lang w:val="en-US" w:eastAsia="zh-CN"/>
          <w14:textFill>
            <w14:solidFill>
              <w14:schemeClr w14:val="tx1"/>
            </w14:solidFill>
          </w14:textFill>
        </w:rPr>
        <w:t>样分析</w:t>
      </w:r>
      <w:r>
        <w:rPr>
          <w:rFonts w:hint="eastAsia" w:ascii="Times New Roman" w:hAnsi="Times New Roman" w:eastAsia="宋体" w:cs="Times New Roman"/>
          <w:color w:val="000000" w:themeColor="text1"/>
          <w:sz w:val="24"/>
          <w:lang w:val="en-US" w:eastAsia="zh-CN"/>
          <w14:textFill>
            <w14:solidFill>
              <w14:schemeClr w14:val="tx1"/>
            </w14:solidFill>
          </w14:textFill>
        </w:rPr>
        <w:t>。监测点位应按照原开采区域面积均匀选取，同时考虑上下游位置关系，</w:t>
      </w:r>
      <w:r>
        <w:rPr>
          <w:rFonts w:hint="default" w:ascii="Times New Roman" w:hAnsi="Times New Roman" w:eastAsia="宋体" w:cs="Times New Roman"/>
          <w:color w:val="000000" w:themeColor="text1"/>
          <w:sz w:val="24"/>
          <w:lang w:val="en-US" w:eastAsia="zh-CN"/>
          <w14:textFill>
            <w14:solidFill>
              <w14:schemeClr w14:val="tx1"/>
            </w14:solidFill>
          </w14:textFill>
        </w:rPr>
        <w:t>每个</w:t>
      </w:r>
      <w:r>
        <w:rPr>
          <w:rFonts w:hint="eastAsia" w:ascii="Times New Roman" w:hAnsi="Times New Roman" w:eastAsia="宋体" w:cs="Times New Roman"/>
          <w:color w:val="000000" w:themeColor="text1"/>
          <w:sz w:val="24"/>
          <w:lang w:val="en-US" w:eastAsia="zh-CN"/>
          <w14:textFill>
            <w14:solidFill>
              <w14:schemeClr w14:val="tx1"/>
            </w14:solidFill>
          </w14:textFill>
        </w:rPr>
        <w:t>区域选取</w:t>
      </w:r>
      <w:r>
        <w:rPr>
          <w:rFonts w:hint="default" w:ascii="Times New Roman" w:hAnsi="Times New Roman" w:eastAsia="宋体" w:cs="Times New Roman"/>
          <w:color w:val="000000" w:themeColor="text1"/>
          <w:sz w:val="24"/>
          <w:lang w:val="en-US" w:eastAsia="zh-CN"/>
          <w14:textFill>
            <w14:solidFill>
              <w14:schemeClr w14:val="tx1"/>
            </w14:solidFill>
          </w14:textFill>
        </w:rPr>
        <w:t>至少10%的生产井</w:t>
      </w:r>
      <w:r>
        <w:rPr>
          <w:rFonts w:hint="eastAsia" w:ascii="Times New Roman" w:hAnsi="Times New Roman" w:eastAsia="宋体" w:cs="Times New Roman"/>
          <w:color w:val="000000" w:themeColor="text1"/>
          <w:sz w:val="24"/>
          <w:lang w:val="en-US" w:eastAsia="zh-CN"/>
          <w14:textFill>
            <w14:solidFill>
              <w14:schemeClr w14:val="tx1"/>
            </w14:solidFill>
          </w14:textFill>
        </w:rPr>
        <w:t>开展监测，</w:t>
      </w:r>
      <w:r>
        <w:rPr>
          <w:rFonts w:hint="default" w:ascii="Times New Roman" w:hAnsi="Times New Roman" w:eastAsia="宋体" w:cs="Times New Roman"/>
          <w:color w:val="000000" w:themeColor="text1"/>
          <w:sz w:val="24"/>
          <w:lang w:val="zh-CN" w:eastAsia="zh-CN"/>
          <w14:textFill>
            <w14:solidFill>
              <w14:schemeClr w14:val="tx1"/>
            </w14:solidFill>
          </w14:textFill>
        </w:rPr>
        <w:t>生产井的选择要遵循水文地质条件下特征因子的迁移扩散规律，选取具有代表性的井孔</w:t>
      </w:r>
      <w:r>
        <w:rPr>
          <w:rFonts w:hint="eastAsia" w:ascii="Times New Roman" w:hAnsi="Times New Roman" w:eastAsia="宋体" w:cs="Times New Roman"/>
          <w:color w:val="000000" w:themeColor="text1"/>
          <w:sz w:val="24"/>
          <w:lang w:val="zh-CN" w:eastAsia="zh-CN"/>
          <w14:textFill>
            <w14:solidFill>
              <w14:schemeClr w14:val="tx1"/>
            </w14:solidFill>
          </w14:textFill>
        </w:rPr>
        <w:t>；</w:t>
      </w:r>
      <w:r>
        <w:rPr>
          <w:rFonts w:hint="default" w:ascii="Times New Roman" w:hAnsi="Times New Roman" w:eastAsia="宋体" w:cs="Times New Roman"/>
          <w:color w:val="000000" w:themeColor="text1"/>
          <w:sz w:val="24"/>
          <w:lang w:val="zh-CN" w:eastAsia="zh-CN"/>
          <w14:textFill>
            <w14:solidFill>
              <w14:schemeClr w14:val="tx1"/>
            </w14:solidFill>
          </w14:textFill>
        </w:rPr>
        <w:t>为了评估</w:t>
      </w:r>
      <w:r>
        <w:rPr>
          <w:rFonts w:hint="eastAsia" w:ascii="Times New Roman" w:hAnsi="Times New Roman" w:eastAsia="宋体" w:cs="Times New Roman"/>
          <w:color w:val="000000" w:themeColor="text1"/>
          <w:sz w:val="24"/>
          <w:lang w:val="en-US" w:eastAsia="zh-CN"/>
          <w14:textFill>
            <w14:solidFill>
              <w14:schemeClr w14:val="tx1"/>
            </w14:solidFill>
          </w14:textFill>
        </w:rPr>
        <w:t>潜在</w:t>
      </w:r>
      <w:r>
        <w:rPr>
          <w:rFonts w:hint="default" w:ascii="Times New Roman" w:hAnsi="Times New Roman" w:eastAsia="宋体" w:cs="Times New Roman"/>
          <w:color w:val="000000" w:themeColor="text1"/>
          <w:sz w:val="24"/>
          <w:lang w:val="zh-CN" w:eastAsia="zh-CN"/>
          <w14:textFill>
            <w14:solidFill>
              <w14:schemeClr w14:val="tx1"/>
            </w14:solidFill>
          </w14:textFill>
        </w:rPr>
        <w:t>特征因子的影响范围，周边的监测井</w:t>
      </w:r>
      <w:r>
        <w:rPr>
          <w:rFonts w:hint="eastAsia" w:ascii="Times New Roman" w:hAnsi="Times New Roman" w:eastAsia="宋体" w:cs="Times New Roman"/>
          <w:color w:val="000000" w:themeColor="text1"/>
          <w:sz w:val="24"/>
          <w:lang w:val="en-US" w:eastAsia="zh-CN"/>
          <w14:textFill>
            <w14:solidFill>
              <w14:schemeClr w14:val="tx1"/>
            </w14:solidFill>
          </w14:textFill>
        </w:rPr>
        <w:t>也</w:t>
      </w:r>
      <w:r>
        <w:rPr>
          <w:rFonts w:hint="default" w:ascii="Times New Roman" w:hAnsi="Times New Roman" w:eastAsia="宋体" w:cs="Times New Roman"/>
          <w:color w:val="000000" w:themeColor="text1"/>
          <w:sz w:val="24"/>
          <w:lang w:val="zh-CN" w:eastAsia="zh-CN"/>
          <w14:textFill>
            <w14:solidFill>
              <w14:schemeClr w14:val="tx1"/>
            </w14:solidFill>
          </w14:textFill>
        </w:rPr>
        <w:t>纳入源项调查</w:t>
      </w:r>
      <w:r>
        <w:rPr>
          <w:rFonts w:hint="eastAsia" w:ascii="Times New Roman" w:hAnsi="Times New Roman" w:eastAsia="宋体" w:cs="Times New Roman"/>
          <w:color w:val="000000" w:themeColor="text1"/>
          <w:sz w:val="24"/>
          <w:lang w:val="en-US" w:eastAsia="zh-CN"/>
          <w14:textFill>
            <w14:solidFill>
              <w14:schemeClr w14:val="tx1"/>
            </w14:solidFill>
          </w14:textFill>
        </w:rPr>
        <w:t>监测点位</w:t>
      </w:r>
      <w:r>
        <w:rPr>
          <w:rFonts w:hint="default" w:ascii="Times New Roman" w:hAnsi="Times New Roman" w:eastAsia="宋体" w:cs="Times New Roman"/>
          <w:color w:val="000000" w:themeColor="text1"/>
          <w:sz w:val="24"/>
          <w:lang w:val="zh-CN"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新开采的地浸铀矿山一般会开展</w:t>
      </w:r>
      <w:r>
        <w:rPr>
          <w:rFonts w:hint="default" w:ascii="Times New Roman" w:hAnsi="Times New Roman" w:eastAsia="宋体" w:cs="Times New Roman"/>
          <w:color w:val="000000" w:themeColor="text1"/>
          <w:sz w:val="24"/>
          <w:lang w:val="zh-CN" w:eastAsia="zh-CN"/>
          <w14:textFill>
            <w14:solidFill>
              <w14:schemeClr w14:val="tx1"/>
            </w14:solidFill>
          </w14:textFill>
        </w:rPr>
        <w:t>浸出液</w:t>
      </w:r>
      <w:r>
        <w:rPr>
          <w:rFonts w:hint="eastAsia" w:ascii="Times New Roman" w:hAnsi="Times New Roman" w:eastAsia="宋体" w:cs="Times New Roman"/>
          <w:color w:val="000000" w:themeColor="text1"/>
          <w:sz w:val="24"/>
          <w:lang w:val="zh-CN" w:eastAsia="zh-CN"/>
          <w14:textFill>
            <w14:solidFill>
              <w14:schemeClr w14:val="tx1"/>
            </w14:solidFill>
          </w14:textFill>
        </w:rPr>
        <w:t>多因子</w:t>
      </w:r>
      <w:r>
        <w:rPr>
          <w:rFonts w:hint="default" w:ascii="Times New Roman" w:hAnsi="Times New Roman" w:eastAsia="宋体" w:cs="Times New Roman"/>
          <w:color w:val="000000" w:themeColor="text1"/>
          <w:sz w:val="24"/>
          <w:lang w:val="zh-CN" w:eastAsia="zh-CN"/>
          <w14:textFill>
            <w14:solidFill>
              <w14:schemeClr w14:val="tx1"/>
            </w14:solidFill>
          </w14:textFill>
        </w:rPr>
        <w:t>分析</w:t>
      </w:r>
      <w:r>
        <w:rPr>
          <w:rFonts w:hint="eastAsia" w:ascii="Times New Roman" w:hAnsi="Times New Roman" w:eastAsia="宋体" w:cs="Times New Roman"/>
          <w:color w:val="000000" w:themeColor="text1"/>
          <w:sz w:val="24"/>
          <w:lang w:val="en-US" w:eastAsia="zh-CN"/>
          <w14:textFill>
            <w14:solidFill>
              <w14:schemeClr w14:val="tx1"/>
            </w14:solidFill>
          </w14:textFill>
        </w:rPr>
        <w:t>工作；对于</w:t>
      </w:r>
      <w:r>
        <w:rPr>
          <w:rFonts w:hint="default" w:ascii="Times New Roman" w:hAnsi="Times New Roman" w:eastAsia="宋体" w:cs="Times New Roman"/>
          <w:color w:val="000000" w:themeColor="text1"/>
          <w:sz w:val="24"/>
          <w:lang w:val="zh-CN" w:eastAsia="zh-CN"/>
          <w14:textFill>
            <w14:solidFill>
              <w14:schemeClr w14:val="tx1"/>
            </w14:solidFill>
          </w14:textFill>
        </w:rPr>
        <w:t>未开展浸出液</w:t>
      </w:r>
      <w:r>
        <w:rPr>
          <w:rFonts w:hint="eastAsia" w:ascii="Times New Roman" w:hAnsi="Times New Roman" w:eastAsia="宋体" w:cs="Times New Roman"/>
          <w:color w:val="000000" w:themeColor="text1"/>
          <w:sz w:val="24"/>
          <w:lang w:val="zh-CN" w:eastAsia="zh-CN"/>
          <w14:textFill>
            <w14:solidFill>
              <w14:schemeClr w14:val="tx1"/>
            </w14:solidFill>
          </w14:textFill>
        </w:rPr>
        <w:t>多因子</w:t>
      </w:r>
      <w:r>
        <w:rPr>
          <w:rFonts w:hint="default" w:ascii="Times New Roman" w:hAnsi="Times New Roman" w:eastAsia="宋体" w:cs="Times New Roman"/>
          <w:color w:val="000000" w:themeColor="text1"/>
          <w:sz w:val="24"/>
          <w:lang w:val="zh-CN" w:eastAsia="zh-CN"/>
          <w14:textFill>
            <w14:solidFill>
              <w14:schemeClr w14:val="tx1"/>
            </w14:solidFill>
          </w14:textFill>
        </w:rPr>
        <w:t>分析</w:t>
      </w:r>
      <w:r>
        <w:rPr>
          <w:rFonts w:hint="eastAsia" w:ascii="Times New Roman" w:hAnsi="Times New Roman" w:eastAsia="宋体" w:cs="Times New Roman"/>
          <w:color w:val="000000" w:themeColor="text1"/>
          <w:sz w:val="24"/>
          <w:lang w:val="en-US" w:eastAsia="zh-CN"/>
          <w14:textFill>
            <w14:solidFill>
              <w14:schemeClr w14:val="tx1"/>
            </w14:solidFill>
          </w14:textFill>
        </w:rPr>
        <w:t>的老旧铀矿山，建议在纳入源项调查监测点位的生产井中，选取</w:t>
      </w:r>
      <w:r>
        <w:rPr>
          <w:rFonts w:hint="default" w:ascii="Times New Roman" w:hAnsi="Times New Roman" w:eastAsia="宋体" w:cs="Times New Roman"/>
          <w:color w:val="000000" w:themeColor="text1"/>
          <w:sz w:val="24"/>
          <w:lang w:val="en-US" w:eastAsia="zh-CN"/>
          <w14:textFill>
            <w14:solidFill>
              <w14:schemeClr w14:val="tx1"/>
            </w14:solidFill>
          </w14:textFill>
        </w:rPr>
        <w:t>20%</w:t>
      </w:r>
      <w:r>
        <w:rPr>
          <w:rFonts w:hint="eastAsia" w:ascii="Times New Roman" w:hAnsi="Times New Roman" w:eastAsia="宋体" w:cs="Times New Roman"/>
          <w:color w:val="000000" w:themeColor="text1"/>
          <w:sz w:val="24"/>
          <w:lang w:val="en-US" w:eastAsia="zh-CN"/>
          <w14:textFill>
            <w14:solidFill>
              <w14:schemeClr w14:val="tx1"/>
            </w14:solidFill>
          </w14:textFill>
        </w:rPr>
        <w:t>的生产井取样开展地下水多因子监测分析；其余生产井及所有监测井取样开展潜在特征因子监测分析</w:t>
      </w:r>
      <w:r>
        <w:rPr>
          <w:rFonts w:hint="default" w:ascii="Times New Roman" w:hAnsi="Times New Roman" w:eastAsia="宋体" w:cs="Times New Roman"/>
          <w:color w:val="000000" w:themeColor="text1"/>
          <w:sz w:val="24"/>
          <w:lang w:val="zh-CN" w:eastAsia="zh-CN"/>
          <w14:textFill>
            <w14:solidFill>
              <w14:schemeClr w14:val="tx1"/>
            </w14:solidFill>
          </w14:textFill>
        </w:rPr>
        <w:t>，从而更加</w:t>
      </w:r>
      <w:r>
        <w:rPr>
          <w:rFonts w:hint="eastAsia" w:ascii="Times New Roman" w:hAnsi="Times New Roman" w:eastAsia="宋体" w:cs="Times New Roman"/>
          <w:color w:val="000000" w:themeColor="text1"/>
          <w:sz w:val="24"/>
          <w:lang w:val="en-US" w:eastAsia="zh-CN"/>
          <w14:textFill>
            <w14:solidFill>
              <w14:schemeClr w14:val="tx1"/>
            </w14:solidFill>
          </w14:textFill>
        </w:rPr>
        <w:t>科学</w:t>
      </w:r>
      <w:r>
        <w:rPr>
          <w:rFonts w:hint="default" w:ascii="Times New Roman" w:hAnsi="Times New Roman" w:eastAsia="宋体" w:cs="Times New Roman"/>
          <w:color w:val="000000" w:themeColor="text1"/>
          <w:sz w:val="24"/>
          <w:lang w:val="zh-CN" w:eastAsia="zh-CN"/>
          <w14:textFill>
            <w14:solidFill>
              <w14:schemeClr w14:val="tx1"/>
            </w14:solidFill>
          </w14:textFill>
        </w:rPr>
        <w:t>地刻画地浸铀矿山的</w:t>
      </w:r>
      <w:r>
        <w:rPr>
          <w:rFonts w:hint="eastAsia" w:ascii="Times New Roman" w:hAnsi="Times New Roman" w:eastAsia="宋体" w:cs="Times New Roman"/>
          <w:color w:val="000000" w:themeColor="text1"/>
          <w:sz w:val="24"/>
          <w:lang w:val="en-US" w:eastAsia="zh-CN"/>
          <w14:textFill>
            <w14:solidFill>
              <w14:schemeClr w14:val="tx1"/>
            </w14:solidFill>
          </w14:textFill>
        </w:rPr>
        <w:t>源项</w:t>
      </w:r>
      <w:r>
        <w:rPr>
          <w:rFonts w:hint="default" w:ascii="Times New Roman" w:hAnsi="Times New Roman" w:eastAsia="宋体" w:cs="Times New Roman"/>
          <w:color w:val="000000" w:themeColor="text1"/>
          <w:sz w:val="24"/>
          <w:lang w:val="zh-CN" w:eastAsia="zh-CN"/>
          <w14:textFill>
            <w14:solidFill>
              <w14:schemeClr w14:val="tx1"/>
            </w14:solidFill>
          </w14:textFill>
        </w:rPr>
        <w:t>情况。</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hint="default" w:ascii="黑体" w:hAnsi="黑体" w:eastAsia="黑体"/>
          <w:kern w:val="0"/>
          <w:sz w:val="24"/>
          <w:lang w:val="en-US" w:eastAsia="zh-CN"/>
        </w:rPr>
      </w:pPr>
      <w:r>
        <w:rPr>
          <w:rFonts w:hint="eastAsia" w:ascii="黑体" w:hAnsi="黑体" w:eastAsia="黑体"/>
          <w:kern w:val="0"/>
          <w:sz w:val="24"/>
          <w:lang w:val="en-US" w:eastAsia="zh-CN"/>
        </w:rPr>
        <w:t>2</w:t>
      </w:r>
      <w:r>
        <w:rPr>
          <w:rFonts w:hint="eastAsia" w:ascii="黑体" w:hAnsi="黑体" w:eastAsia="黑体"/>
          <w:kern w:val="0"/>
          <w:sz w:val="24"/>
        </w:rPr>
        <w:t>.</w:t>
      </w:r>
      <w:r>
        <w:rPr>
          <w:rFonts w:hint="eastAsia" w:ascii="黑体" w:hAnsi="黑体" w:eastAsia="黑体"/>
          <w:kern w:val="0"/>
          <w:sz w:val="24"/>
          <w:lang w:val="en-US" w:eastAsia="zh-CN"/>
        </w:rPr>
        <w:t>4</w:t>
      </w:r>
      <w:r>
        <w:rPr>
          <w:rFonts w:hint="eastAsia" w:ascii="Times New Roman" w:hAnsi="Times New Roman" w:eastAsia="宋体" w:cs="Times New Roman"/>
          <w:kern w:val="0"/>
          <w:sz w:val="24"/>
          <w:szCs w:val="20"/>
          <w:lang w:val="en-US" w:eastAsia="zh-CN" w:bidi="ar-SA"/>
        </w:rPr>
        <w:t xml:space="preserve"> </w:t>
      </w:r>
      <w:r>
        <w:rPr>
          <w:rFonts w:hint="default" w:ascii="黑体" w:hAnsi="黑体" w:eastAsia="黑体"/>
          <w:kern w:val="0"/>
          <w:sz w:val="24"/>
          <w:lang w:val="en-US" w:eastAsia="zh-CN"/>
        </w:rPr>
        <w:t>特征因子</w:t>
      </w:r>
      <w:r>
        <w:rPr>
          <w:rFonts w:hint="eastAsia" w:ascii="黑体" w:hAnsi="黑体" w:eastAsia="黑体"/>
          <w:kern w:val="0"/>
          <w:sz w:val="24"/>
          <w:lang w:val="en-US" w:eastAsia="zh-CN"/>
        </w:rPr>
        <w:t>与修复范围</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黑体" w:hAnsi="黑体" w:eastAsia="黑体"/>
          <w:kern w:val="0"/>
          <w:sz w:val="24"/>
          <w:lang w:val="en-US" w:eastAsia="zh-CN"/>
        </w:rPr>
      </w:pPr>
      <w:r>
        <w:rPr>
          <w:rFonts w:hint="eastAsia" w:ascii="黑体" w:hAnsi="黑体" w:eastAsia="黑体"/>
          <w:kern w:val="0"/>
          <w:sz w:val="24"/>
          <w:lang w:val="en-US" w:eastAsia="zh-CN"/>
        </w:rPr>
        <w:t xml:space="preserve">2.4.1 </w:t>
      </w:r>
      <w:r>
        <w:rPr>
          <w:rFonts w:hint="default" w:ascii="黑体" w:hAnsi="黑体" w:eastAsia="黑体"/>
          <w:kern w:val="0"/>
          <w:sz w:val="24"/>
          <w:lang w:val="en-US" w:eastAsia="zh-CN"/>
        </w:rPr>
        <w:t>放射性特征因子</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《铀矿冶辐射防护和辐射环境保护规定》（GB23727-2020）给出了废水中放射性核素排放限值，</w:t>
      </w:r>
      <w:r>
        <w:rPr>
          <w:rFonts w:hint="eastAsia" w:ascii="Times New Roman" w:hAnsi="Times New Roman" w:eastAsia="宋体" w:cs="Times New Roman"/>
          <w:sz w:val="24"/>
          <w:szCs w:val="24"/>
          <w:lang w:val="en-US" w:eastAsia="zh-CN"/>
        </w:rPr>
        <w:t>核素</w:t>
      </w:r>
      <w:r>
        <w:rPr>
          <w:rFonts w:hint="default" w:ascii="Times New Roman" w:hAnsi="Times New Roman" w:eastAsia="宋体" w:cs="Times New Roman"/>
          <w:sz w:val="24"/>
          <w:szCs w:val="24"/>
        </w:rPr>
        <w:t>包括U</w:t>
      </w:r>
      <w:r>
        <w:rPr>
          <w:rFonts w:hint="default" w:ascii="Times New Roman" w:hAnsi="Times New Roman" w:eastAsia="宋体" w:cs="Times New Roman"/>
          <w:sz w:val="24"/>
          <w:szCs w:val="24"/>
          <w:vertAlign w:val="subscript"/>
        </w:rPr>
        <w:t>天然</w:t>
      </w:r>
      <w:r>
        <w:rPr>
          <w:rFonts w:hint="default" w:ascii="Times New Roman" w:hAnsi="Times New Roman" w:eastAsia="宋体" w:cs="Times New Roman"/>
          <w:sz w:val="24"/>
          <w:szCs w:val="24"/>
        </w:rPr>
        <w:t>、</w:t>
      </w:r>
      <w:bookmarkStart w:id="6" w:name="OLE_LINK2"/>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default" w:ascii="Times New Roman" w:hAnsi="Times New Roman" w:eastAsia="宋体" w:cs="Times New Roman"/>
          <w:sz w:val="24"/>
          <w:szCs w:val="24"/>
          <w:vertAlign w:val="superscript"/>
        </w:rPr>
        <w:t>230</w:t>
      </w:r>
      <w:r>
        <w:rPr>
          <w:rFonts w:hint="default" w:ascii="Times New Roman" w:hAnsi="Times New Roman" w:eastAsia="宋体" w:cs="Times New Roman"/>
          <w:sz w:val="24"/>
          <w:szCs w:val="24"/>
        </w:rPr>
        <w:t>Th、</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Pb、</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Po</w:t>
      </w:r>
      <w:bookmarkEnd w:id="6"/>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《生活饮用水卫生标准》（</w:t>
      </w:r>
      <w:r>
        <w:rPr>
          <w:rFonts w:hint="default" w:ascii="Times New Roman" w:hAnsi="Times New Roman" w:eastAsia="宋体" w:cs="Times New Roman"/>
          <w:sz w:val="24"/>
          <w:szCs w:val="24"/>
        </w:rPr>
        <w:t>GB</w:t>
      </w:r>
      <w:r>
        <w:rPr>
          <w:rFonts w:hint="default" w:ascii="Times New Roman" w:hAnsi="Times New Roman" w:eastAsia="宋体" w:cs="Times New Roman"/>
          <w:sz w:val="24"/>
          <w:szCs w:val="24"/>
          <w:lang w:val="en-US" w:eastAsia="zh-CN"/>
        </w:rPr>
        <w:t>5749-2022）</w:t>
      </w:r>
      <w:r>
        <w:rPr>
          <w:rFonts w:hint="eastAsia" w:ascii="Times New Roman" w:hAnsi="Times New Roman" w:eastAsia="宋体" w:cs="Times New Roman"/>
          <w:sz w:val="24"/>
          <w:szCs w:val="24"/>
          <w:lang w:val="en-US" w:eastAsia="zh-CN"/>
        </w:rPr>
        <w:t>给出了饮用水中</w:t>
      </w:r>
      <w:r>
        <w:rPr>
          <w:rFonts w:hint="default" w:ascii="Times New Roman" w:hAnsi="Times New Roman" w:eastAsia="宋体" w:cs="Times New Roman"/>
          <w:sz w:val="24"/>
          <w:szCs w:val="24"/>
        </w:rPr>
        <w:t>放射性核素</w:t>
      </w:r>
      <w:r>
        <w:rPr>
          <w:rFonts w:hint="default" w:ascii="Times New Roman" w:hAnsi="Times New Roman" w:eastAsia="宋体" w:cs="Times New Roman"/>
          <w:sz w:val="24"/>
          <w:szCs w:val="24"/>
          <w:lang w:val="en-US" w:eastAsia="zh-CN"/>
        </w:rPr>
        <w:t>的</w:t>
      </w:r>
      <w:r>
        <w:rPr>
          <w:rFonts w:hint="eastAsia" w:ascii="Times New Roman" w:hAnsi="Times New Roman" w:eastAsia="宋体" w:cs="Times New Roman"/>
          <w:sz w:val="24"/>
          <w:szCs w:val="24"/>
          <w:lang w:val="en-US" w:eastAsia="zh-CN"/>
        </w:rPr>
        <w:t>质量</w:t>
      </w:r>
      <w:r>
        <w:rPr>
          <w:rFonts w:hint="default" w:ascii="Times New Roman" w:hAnsi="Times New Roman" w:eastAsia="宋体" w:cs="Times New Roman"/>
          <w:sz w:val="24"/>
          <w:szCs w:val="24"/>
          <w:lang w:val="en-US" w:eastAsia="zh-CN"/>
        </w:rPr>
        <w:t>限值</w:t>
      </w:r>
      <w:r>
        <w:rPr>
          <w:rFonts w:hint="eastAsia" w:ascii="Times New Roman" w:hAnsi="Times New Roman" w:eastAsia="宋体" w:cs="Times New Roman"/>
          <w:sz w:val="24"/>
          <w:szCs w:val="24"/>
          <w:lang w:val="en-US" w:eastAsia="zh-CN"/>
        </w:rPr>
        <w:t>，核素</w:t>
      </w:r>
      <w:r>
        <w:rPr>
          <w:rFonts w:hint="default" w:ascii="Times New Roman" w:hAnsi="Times New Roman" w:eastAsia="宋体" w:cs="Times New Roman"/>
          <w:sz w:val="24"/>
          <w:szCs w:val="24"/>
        </w:rPr>
        <w:t>包括U</w:t>
      </w:r>
      <w:r>
        <w:rPr>
          <w:rFonts w:hint="default" w:ascii="Times New Roman" w:hAnsi="Times New Roman" w:eastAsia="宋体" w:cs="Times New Roman"/>
          <w:sz w:val="24"/>
          <w:szCs w:val="24"/>
          <w:vertAlign w:val="subscript"/>
        </w:rPr>
        <w:t>天然</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eastAsia" w:ascii="Times New Roman" w:hAnsi="Times New Roman" w:eastAsia="宋体" w:cs="Times New Roman"/>
          <w:sz w:val="24"/>
          <w:szCs w:val="24"/>
          <w:lang w:val="en-US" w:eastAsia="zh-CN"/>
        </w:rPr>
        <w:t>。</w:t>
      </w:r>
      <w:bookmarkStart w:id="7" w:name="OLE_LINK9"/>
      <w:r>
        <w:rPr>
          <w:rFonts w:hint="eastAsia" w:ascii="Times New Roman" w:hAnsi="Times New Roman" w:eastAsia="宋体" w:cs="Times New Roman"/>
          <w:sz w:val="24"/>
          <w:szCs w:val="24"/>
          <w:lang w:val="en-US" w:eastAsia="zh-CN"/>
        </w:rPr>
        <w:t>《地下水质量标准》（GB/T14848-2025）报批稿</w:t>
      </w:r>
      <w:bookmarkEnd w:id="7"/>
      <w:r>
        <w:rPr>
          <w:rFonts w:hint="eastAsia" w:ascii="Times New Roman" w:hAnsi="Times New Roman" w:eastAsia="宋体" w:cs="Times New Roman"/>
          <w:sz w:val="24"/>
          <w:szCs w:val="24"/>
          <w:lang w:val="en-US" w:eastAsia="zh-CN"/>
        </w:rPr>
        <w:t>附录A中给出了</w:t>
      </w:r>
      <w:r>
        <w:rPr>
          <w:rFonts w:hint="default" w:ascii="Times New Roman" w:hAnsi="Times New Roman" w:eastAsia="宋体" w:cs="Times New Roman"/>
          <w:sz w:val="24"/>
          <w:szCs w:val="24"/>
        </w:rPr>
        <w:t>U</w:t>
      </w:r>
      <w:r>
        <w:rPr>
          <w:rFonts w:hint="default" w:ascii="Times New Roman" w:hAnsi="Times New Roman" w:eastAsia="宋体" w:cs="Times New Roman"/>
          <w:sz w:val="24"/>
          <w:szCs w:val="24"/>
          <w:vertAlign w:val="subscript"/>
        </w:rPr>
        <w:t>天然</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default" w:ascii="Times New Roman" w:hAnsi="Times New Roman" w:eastAsia="宋体" w:cs="Times New Roman"/>
          <w:sz w:val="24"/>
          <w:szCs w:val="24"/>
          <w:lang w:val="en-US" w:eastAsia="zh-CN"/>
        </w:rPr>
        <w:t>的</w:t>
      </w:r>
      <w:r>
        <w:rPr>
          <w:rFonts w:hint="eastAsia" w:ascii="Times New Roman" w:hAnsi="Times New Roman" w:eastAsia="宋体" w:cs="Times New Roman"/>
          <w:sz w:val="24"/>
          <w:szCs w:val="24"/>
          <w:lang w:val="en-US" w:eastAsia="zh-CN"/>
        </w:rPr>
        <w:t>质量</w:t>
      </w:r>
      <w:r>
        <w:rPr>
          <w:rFonts w:hint="default" w:ascii="Times New Roman" w:hAnsi="Times New Roman" w:eastAsia="宋体" w:cs="Times New Roman"/>
          <w:sz w:val="24"/>
          <w:szCs w:val="24"/>
          <w:lang w:val="en-US" w:eastAsia="zh-CN"/>
        </w:rPr>
        <w:t>限值</w:t>
      </w:r>
      <w:r>
        <w:rPr>
          <w:rFonts w:hint="eastAsia" w:ascii="Times New Roman" w:hAnsi="Times New Roman" w:eastAsia="宋体" w:cs="Times New Roman"/>
          <w:sz w:val="24"/>
          <w:szCs w:val="24"/>
          <w:lang w:val="en-US" w:eastAsia="zh-CN"/>
        </w:rPr>
        <w:t>。</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地浸</w:t>
      </w:r>
      <w:r>
        <w:rPr>
          <w:rFonts w:hint="eastAsia" w:ascii="Times New Roman" w:hAnsi="Times New Roman" w:eastAsia="宋体" w:cs="Times New Roman"/>
          <w:sz w:val="24"/>
          <w:szCs w:val="24"/>
          <w:lang w:val="en-US" w:eastAsia="zh-CN"/>
        </w:rPr>
        <w:t>采</w:t>
      </w:r>
      <w:r>
        <w:rPr>
          <w:rFonts w:hint="default" w:ascii="Times New Roman" w:hAnsi="Times New Roman" w:eastAsia="宋体" w:cs="Times New Roman"/>
          <w:sz w:val="24"/>
          <w:szCs w:val="24"/>
          <w:lang w:val="en-US" w:eastAsia="zh-CN"/>
        </w:rPr>
        <w:t>铀生产过程是获取天然铀产品的过程，</w:t>
      </w:r>
      <w:r>
        <w:rPr>
          <w:rFonts w:hint="default" w:ascii="Times New Roman" w:hAnsi="Times New Roman" w:eastAsia="宋体" w:cs="Times New Roman"/>
          <w:sz w:val="24"/>
          <w:szCs w:val="24"/>
        </w:rPr>
        <w:t>U</w:t>
      </w:r>
      <w:r>
        <w:rPr>
          <w:rFonts w:hint="default" w:ascii="Times New Roman" w:hAnsi="Times New Roman" w:eastAsia="宋体" w:cs="Times New Roman"/>
          <w:sz w:val="24"/>
          <w:szCs w:val="24"/>
          <w:vertAlign w:val="subscript"/>
        </w:rPr>
        <w:t>天然</w:t>
      </w:r>
      <w:r>
        <w:rPr>
          <w:rFonts w:hint="default" w:ascii="Times New Roman" w:hAnsi="Times New Roman" w:eastAsia="宋体" w:cs="Times New Roman"/>
          <w:sz w:val="24"/>
          <w:szCs w:val="24"/>
          <w:lang w:val="en-US" w:eastAsia="zh-CN"/>
        </w:rPr>
        <w:t>是地下水修复时首要</w:t>
      </w:r>
      <w:r>
        <w:rPr>
          <w:rFonts w:hint="eastAsia" w:ascii="Times New Roman" w:hAnsi="Times New Roman" w:eastAsia="宋体" w:cs="Times New Roman"/>
          <w:sz w:val="24"/>
          <w:szCs w:val="24"/>
          <w:lang w:val="en-US" w:eastAsia="zh-CN"/>
        </w:rPr>
        <w:t>关注</w:t>
      </w:r>
      <w:r>
        <w:rPr>
          <w:rFonts w:hint="default" w:ascii="Times New Roman" w:hAnsi="Times New Roman" w:eastAsia="宋体" w:cs="Times New Roman"/>
          <w:sz w:val="24"/>
          <w:szCs w:val="24"/>
          <w:lang w:val="en-US" w:eastAsia="zh-CN"/>
        </w:rPr>
        <w:t>的</w:t>
      </w:r>
      <w:r>
        <w:rPr>
          <w:rFonts w:hint="eastAsia" w:ascii="Times New Roman" w:hAnsi="Times New Roman" w:eastAsia="宋体" w:cs="Times New Roman"/>
          <w:sz w:val="24"/>
          <w:szCs w:val="24"/>
          <w:lang w:val="en-US" w:eastAsia="zh-CN"/>
        </w:rPr>
        <w:t>特征</w:t>
      </w:r>
      <w:r>
        <w:rPr>
          <w:rFonts w:hint="default" w:ascii="Times New Roman" w:hAnsi="Times New Roman" w:eastAsia="宋体" w:cs="Times New Roman"/>
          <w:sz w:val="24"/>
          <w:szCs w:val="24"/>
          <w:lang w:val="en-US" w:eastAsia="zh-CN"/>
        </w:rPr>
        <w:t>因子。其他</w:t>
      </w:r>
      <w:r>
        <w:rPr>
          <w:rFonts w:hint="eastAsia" w:ascii="Times New Roman" w:hAnsi="Times New Roman" w:eastAsia="宋体" w:cs="Times New Roman"/>
          <w:sz w:val="24"/>
          <w:szCs w:val="24"/>
          <w:lang w:val="en-US" w:eastAsia="zh-CN"/>
        </w:rPr>
        <w:t>指标</w:t>
      </w: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default" w:ascii="Times New Roman" w:hAnsi="Times New Roman" w:eastAsia="宋体" w:cs="Times New Roman"/>
          <w:sz w:val="24"/>
          <w:szCs w:val="24"/>
          <w:vertAlign w:val="superscript"/>
        </w:rPr>
        <w:t>230</w:t>
      </w:r>
      <w:r>
        <w:rPr>
          <w:rFonts w:hint="default" w:ascii="Times New Roman" w:hAnsi="Times New Roman" w:eastAsia="宋体" w:cs="Times New Roman"/>
          <w:sz w:val="24"/>
          <w:szCs w:val="24"/>
        </w:rPr>
        <w:t>Th、</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Pb、</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Po</w:t>
      </w:r>
      <w:r>
        <w:rPr>
          <w:rFonts w:hint="default" w:ascii="Times New Roman" w:hAnsi="Times New Roman" w:eastAsia="宋体" w:cs="Times New Roman"/>
          <w:sz w:val="24"/>
          <w:szCs w:val="24"/>
          <w:lang w:val="en-US" w:eastAsia="zh-CN"/>
        </w:rPr>
        <w:t>在</w:t>
      </w:r>
      <w:r>
        <w:rPr>
          <w:rFonts w:hint="default" w:ascii="Times New Roman" w:hAnsi="Times New Roman" w:eastAsia="宋体" w:cs="Times New Roman"/>
          <w:sz w:val="24"/>
          <w:szCs w:val="24"/>
        </w:rPr>
        <w:t>GB23727</w:t>
      </w:r>
      <w:r>
        <w:rPr>
          <w:rFonts w:hint="default" w:ascii="Times New Roman" w:hAnsi="Times New Roman" w:eastAsia="宋体" w:cs="Times New Roman"/>
          <w:sz w:val="24"/>
          <w:szCs w:val="24"/>
          <w:lang w:val="en-US" w:eastAsia="zh-CN"/>
        </w:rPr>
        <w:t>的基础上，结合核素半衰期、放射性毒性、</w:t>
      </w:r>
      <w:r>
        <w:rPr>
          <w:rFonts w:hint="default" w:ascii="Times New Roman" w:hAnsi="Times New Roman" w:eastAsia="宋体" w:cs="Times New Roman"/>
          <w:b w:val="0"/>
          <w:bCs w:val="0"/>
          <w:sz w:val="24"/>
          <w:szCs w:val="24"/>
          <w:vertAlign w:val="baseline"/>
          <w:lang w:val="en-US" w:eastAsia="zh-CN"/>
        </w:rPr>
        <w:t>衰变方式、</w:t>
      </w:r>
      <w:r>
        <w:rPr>
          <w:rFonts w:hint="default" w:ascii="Times New Roman" w:hAnsi="Times New Roman" w:eastAsia="宋体" w:cs="Times New Roman"/>
          <w:sz w:val="24"/>
          <w:szCs w:val="24"/>
          <w:lang w:val="en-US" w:eastAsia="zh-CN"/>
        </w:rPr>
        <w:t>致癌风险系数、剂量转换因子</w:t>
      </w:r>
      <w:r>
        <w:rPr>
          <w:rFonts w:hint="eastAsia" w:ascii="Times New Roman" w:hAnsi="Times New Roman" w:eastAsia="宋体" w:cs="Times New Roman"/>
          <w:sz w:val="24"/>
          <w:szCs w:val="24"/>
          <w:lang w:val="en-US" w:eastAsia="zh-CN"/>
        </w:rPr>
        <w:t>、源项调查情况</w:t>
      </w:r>
      <w:r>
        <w:rPr>
          <w:rFonts w:hint="default" w:ascii="Times New Roman" w:hAnsi="Times New Roman" w:eastAsia="宋体" w:cs="Times New Roman"/>
          <w:sz w:val="24"/>
          <w:szCs w:val="24"/>
          <w:lang w:val="en-US" w:eastAsia="zh-CN"/>
        </w:rPr>
        <w:t>等进一步优化确定。</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半衰期</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放射性核素衰变掉一半所需要的时间，叫做该放射性核素的半衰期。在天然条件下，子体和母体处于放射性平衡状态。在矿产加工处理过程中，原有的放射性平衡会被打破，但由于母体核素和子体核素的衰变特性不同，对于母体半衰期远大于子体半衰期的，在平衡打破一段时间后，又会重新处于放射性平衡状态，最终半衰期较长的核素对辐射影响起主导作用，因此，在确定关键核素时，应主要考虑半衰期较长的核素。美国一项关于NORM废物处置的研究认为，对于半衰期超过一年的放射性核素，应重点关注。</w:t>
      </w:r>
      <w:r>
        <w:rPr>
          <w:rFonts w:hint="default" w:ascii="Times New Roman" w:hAnsi="Times New Roman" w:eastAsia="宋体" w:cs="Times New Roman"/>
          <w:sz w:val="24"/>
          <w:szCs w:val="24"/>
          <w:lang w:val="en-US" w:eastAsia="zh-CN"/>
        </w:rPr>
        <w:t>通过对四种核素半衰期的比较，初步筛选出</w:t>
      </w: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default" w:ascii="Times New Roman" w:hAnsi="Times New Roman" w:eastAsia="宋体" w:cs="Times New Roman"/>
          <w:sz w:val="24"/>
          <w:szCs w:val="24"/>
          <w:vertAlign w:val="superscript"/>
        </w:rPr>
        <w:t>230</w:t>
      </w:r>
      <w:r>
        <w:rPr>
          <w:rFonts w:hint="default" w:ascii="Times New Roman" w:hAnsi="Times New Roman" w:eastAsia="宋体" w:cs="Times New Roman"/>
          <w:sz w:val="24"/>
          <w:szCs w:val="24"/>
        </w:rPr>
        <w:t>Th</w:t>
      </w:r>
      <w:r>
        <w:rPr>
          <w:rFonts w:hint="default" w:ascii="Times New Roman" w:hAnsi="Times New Roman" w:eastAsia="宋体" w:cs="Times New Roman"/>
          <w:sz w:val="24"/>
          <w:szCs w:val="24"/>
          <w:lang w:val="en-US" w:eastAsia="zh-CN"/>
        </w:rPr>
        <w:t>作为重点核素考虑。</w:t>
      </w:r>
    </w:p>
    <w:p>
      <w:pPr>
        <w:pStyle w:val="2"/>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eastAsia" w:ascii="Times New Roman" w:cs="Times New Roman"/>
          <w:sz w:val="24"/>
          <w:szCs w:val="24"/>
          <w:lang w:val="en-US" w:eastAsia="zh-CN"/>
        </w:rPr>
        <w:t>2）</w:t>
      </w:r>
      <w:r>
        <w:rPr>
          <w:rFonts w:hint="default" w:ascii="Times New Roman" w:hAnsi="Times New Roman" w:eastAsia="宋体" w:cs="Times New Roman"/>
          <w:sz w:val="24"/>
          <w:szCs w:val="24"/>
          <w:lang w:val="en-US" w:eastAsia="zh-CN"/>
        </w:rPr>
        <w:t>放射性毒性与</w:t>
      </w:r>
      <w:r>
        <w:rPr>
          <w:rFonts w:hint="default" w:ascii="Times New Roman" w:hAnsi="Times New Roman" w:eastAsia="宋体" w:cs="Times New Roman"/>
          <w:b w:val="0"/>
          <w:bCs w:val="0"/>
          <w:sz w:val="24"/>
          <w:szCs w:val="24"/>
          <w:vertAlign w:val="baseline"/>
          <w:lang w:val="en-US" w:eastAsia="zh-CN"/>
        </w:rPr>
        <w:t>衰变方式</w:t>
      </w:r>
    </w:p>
    <w:p>
      <w:pPr>
        <w:pStyle w:val="2"/>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放射性核素进入人体内，</w:t>
      </w:r>
      <w:r>
        <w:rPr>
          <w:rFonts w:hint="default" w:ascii="Times New Roman" w:hAnsi="Times New Roman" w:eastAsia="宋体" w:cs="Times New Roman"/>
          <w:sz w:val="24"/>
          <w:szCs w:val="24"/>
          <w:lang w:val="en-US" w:eastAsia="zh-CN"/>
        </w:rPr>
        <w:t>带来</w:t>
      </w:r>
      <w:r>
        <w:rPr>
          <w:rFonts w:hint="default" w:ascii="Times New Roman" w:hAnsi="Times New Roman" w:eastAsia="宋体" w:cs="Times New Roman"/>
          <w:sz w:val="24"/>
          <w:szCs w:val="24"/>
        </w:rPr>
        <w:t>的辐射对人体产生损伤的程度称为放射性毒性，</w:t>
      </w:r>
      <w:r>
        <w:rPr>
          <w:rFonts w:hint="default" w:ascii="Times New Roman" w:hAnsi="Times New Roman" w:eastAsia="宋体" w:cs="Times New Roman"/>
          <w:sz w:val="24"/>
          <w:szCs w:val="24"/>
          <w:highlight w:val="none"/>
        </w:rPr>
        <w:t>核素的α</w:t>
      </w:r>
      <w:r>
        <w:rPr>
          <w:rFonts w:hint="default" w:ascii="Times New Roman" w:hAnsi="Times New Roman" w:eastAsia="宋体" w:cs="Times New Roman"/>
          <w:sz w:val="24"/>
          <w:szCs w:val="24"/>
          <w:highlight w:val="none"/>
          <w:lang w:val="en-US" w:eastAsia="zh-CN"/>
        </w:rPr>
        <w:t>衰变</w:t>
      </w:r>
      <w:r>
        <w:rPr>
          <w:rFonts w:hint="default" w:ascii="Times New Roman" w:hAnsi="Times New Roman" w:eastAsia="宋体" w:cs="Times New Roman"/>
          <w:sz w:val="24"/>
          <w:szCs w:val="24"/>
          <w:highlight w:val="none"/>
        </w:rPr>
        <w:t>为首要考虑因素。</w:t>
      </w:r>
      <w:r>
        <w:rPr>
          <w:rFonts w:hint="default" w:ascii="Times New Roman" w:hAnsi="Times New Roman" w:eastAsia="宋体" w:cs="Times New Roman"/>
          <w:sz w:val="24"/>
          <w:szCs w:val="24"/>
          <w:highlight w:val="none"/>
          <w:lang w:val="en-US" w:eastAsia="zh-CN"/>
        </w:rPr>
        <w:t>放射性核素的衰变主要包括</w:t>
      </w:r>
      <w:r>
        <w:rPr>
          <w:rFonts w:hint="default" w:ascii="Times New Roman" w:hAnsi="Times New Roman" w:eastAsia="宋体" w:cs="Times New Roman"/>
          <w:sz w:val="24"/>
          <w:szCs w:val="24"/>
          <w:highlight w:val="none"/>
        </w:rPr>
        <w:t>α</w:t>
      </w:r>
      <w:r>
        <w:rPr>
          <w:rFonts w:hint="default" w:ascii="Times New Roman" w:hAnsi="Times New Roman" w:eastAsia="宋体" w:cs="Times New Roman"/>
          <w:sz w:val="24"/>
          <w:szCs w:val="24"/>
          <w:highlight w:val="none"/>
          <w:lang w:val="en-US" w:eastAsia="zh-CN"/>
        </w:rPr>
        <w:t>衰变、</w:t>
      </w:r>
      <w:r>
        <w:rPr>
          <w:rStyle w:val="13"/>
          <w:rFonts w:hint="default" w:ascii="Times New Roman" w:hAnsi="Times New Roman" w:eastAsia="宋体" w:cs="Times New Roman"/>
          <w:b w:val="0"/>
          <w:bCs w:val="0"/>
          <w:i w:val="0"/>
          <w:iCs w:val="0"/>
          <w:caps w:val="0"/>
          <w:color w:val="000000"/>
          <w:spacing w:val="0"/>
          <w:sz w:val="24"/>
          <w:szCs w:val="24"/>
          <w:highlight w:val="none"/>
          <w:shd w:val="clear" w:fill="FFFFFF"/>
          <w:vertAlign w:val="baseline"/>
        </w:rPr>
        <w:t>β衰变</w:t>
      </w:r>
      <w:r>
        <w:rPr>
          <w:rStyle w:val="13"/>
          <w:rFonts w:hint="default" w:ascii="Times New Roman" w:hAnsi="Times New Roman" w:eastAsia="宋体" w:cs="Times New Roman"/>
          <w:b w:val="0"/>
          <w:bCs w:val="0"/>
          <w:i w:val="0"/>
          <w:iCs w:val="0"/>
          <w:caps w:val="0"/>
          <w:color w:val="000000"/>
          <w:spacing w:val="0"/>
          <w:sz w:val="24"/>
          <w:szCs w:val="24"/>
          <w:highlight w:val="none"/>
          <w:shd w:val="clear" w:fill="FFFFFF"/>
          <w:vertAlign w:val="baseline"/>
          <w:lang w:eastAsia="zh-CN"/>
        </w:rPr>
        <w:t>、γ</w:t>
      </w:r>
      <w:r>
        <w:rPr>
          <w:rStyle w:val="13"/>
          <w:rFonts w:hint="default" w:ascii="Times New Roman" w:hAnsi="Times New Roman" w:eastAsia="宋体" w:cs="Times New Roman"/>
          <w:b w:val="0"/>
          <w:bCs w:val="0"/>
          <w:i w:val="0"/>
          <w:iCs w:val="0"/>
          <w:caps w:val="0"/>
          <w:color w:val="000000"/>
          <w:spacing w:val="0"/>
          <w:sz w:val="24"/>
          <w:szCs w:val="24"/>
          <w:highlight w:val="none"/>
          <w:shd w:val="clear" w:fill="FFFFFF"/>
          <w:vertAlign w:val="baseline"/>
        </w:rPr>
        <w:t>衰变</w:t>
      </w:r>
      <w:r>
        <w:rPr>
          <w:rStyle w:val="13"/>
          <w:rFonts w:hint="default" w:ascii="Times New Roman" w:hAnsi="Times New Roman" w:eastAsia="宋体" w:cs="Times New Roman"/>
          <w:b w:val="0"/>
          <w:bCs w:val="0"/>
          <w:i w:val="0"/>
          <w:iCs w:val="0"/>
          <w:caps w:val="0"/>
          <w:color w:val="000000"/>
          <w:spacing w:val="0"/>
          <w:sz w:val="24"/>
          <w:szCs w:val="24"/>
          <w:highlight w:val="none"/>
          <w:shd w:val="clear" w:fill="FFFFFF"/>
          <w:vertAlign w:val="baseline"/>
          <w:lang w:val="en-US" w:eastAsia="zh-CN"/>
        </w:rPr>
        <w:t>三种类型。</w:t>
      </w:r>
      <w:r>
        <w:rPr>
          <w:rFonts w:hint="default" w:ascii="Times New Roman" w:hAnsi="Times New Roman" w:eastAsia="宋体" w:cs="Times New Roman"/>
          <w:sz w:val="24"/>
          <w:szCs w:val="24"/>
          <w:highlight w:val="none"/>
          <w:lang w:val="en-US" w:eastAsia="zh-CN"/>
        </w:rPr>
        <w:t>当放射性核素通过食用、呼吸等途径进入体内后，</w:t>
      </w:r>
      <w:r>
        <w:rPr>
          <w:rFonts w:hint="default" w:ascii="Times New Roman" w:hAnsi="Times New Roman" w:eastAsia="宋体" w:cs="Times New Roman"/>
          <w:sz w:val="24"/>
          <w:szCs w:val="24"/>
          <w:highlight w:val="none"/>
        </w:rPr>
        <w:t>α</w:t>
      </w:r>
      <w:r>
        <w:rPr>
          <w:rFonts w:hint="default" w:ascii="Times New Roman" w:hAnsi="Times New Roman" w:eastAsia="宋体" w:cs="Times New Roman"/>
          <w:sz w:val="24"/>
          <w:szCs w:val="24"/>
          <w:highlight w:val="none"/>
          <w:lang w:val="en-US" w:eastAsia="zh-CN"/>
        </w:rPr>
        <w:t>衰变核素由于电离能力很强，会将几乎全部能量沉积在极小的局部区域内，造成高度集中的损伤，危害最为严重。</w:t>
      </w:r>
      <w:r>
        <w:rPr>
          <w:rFonts w:hint="default" w:ascii="Times New Roman" w:hAnsi="Times New Roman" w:eastAsia="宋体" w:cs="Times New Roman"/>
          <w:sz w:val="24"/>
          <w:szCs w:val="24"/>
        </w:rPr>
        <w:t>我国在1974年颁布的《放射防护规定》中最早提出了放射性同位素毒性分组，将放射性同位素分为极毒、高毒、中毒和低毒４个毒性组，《放射卫生防护基本标准》（GB4792-1984，已被GB18871-2002代替）中，按照工作场所空气中的导出浓度和相应的比活度，将放射性核素分为极毒、高毒、中毒和低毒４个毒性组，此外，《电离辐射防护与辐射源安全基该标准》（GB18871-2002）、《密封放射源 一般要求和分级》等标准规范中也分别给出了毒性分组</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这里引用了</w:t>
      </w:r>
      <w:r>
        <w:rPr>
          <w:rFonts w:hint="default" w:ascii="Times New Roman" w:hAnsi="Times New Roman" w:eastAsia="宋体" w:cs="Times New Roman"/>
          <w:sz w:val="24"/>
          <w:szCs w:val="24"/>
        </w:rPr>
        <w:t>GB18871</w:t>
      </w:r>
      <w:r>
        <w:rPr>
          <w:rFonts w:hint="default" w:ascii="Times New Roman" w:hAnsi="Times New Roman" w:eastAsia="宋体" w:cs="Times New Roman"/>
          <w:sz w:val="24"/>
          <w:szCs w:val="24"/>
          <w:lang w:val="en-US" w:eastAsia="zh-CN"/>
        </w:rPr>
        <w:t>的毒性分组情况。通过对四种核素</w:t>
      </w:r>
      <w:r>
        <w:rPr>
          <w:rFonts w:hint="default" w:ascii="Times New Roman" w:hAnsi="Times New Roman" w:eastAsia="宋体" w:cs="Times New Roman"/>
          <w:sz w:val="24"/>
          <w:szCs w:val="24"/>
        </w:rPr>
        <w:t>放射性毒性</w:t>
      </w:r>
      <w:r>
        <w:rPr>
          <w:rFonts w:hint="default" w:ascii="Times New Roman" w:hAnsi="Times New Roman" w:eastAsia="宋体" w:cs="Times New Roman"/>
          <w:sz w:val="24"/>
          <w:szCs w:val="24"/>
          <w:lang w:val="en-US" w:eastAsia="zh-CN"/>
        </w:rPr>
        <w:t>和衰变方式的比较，初步筛选出</w:t>
      </w: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default" w:ascii="Times New Roman" w:hAnsi="Times New Roman" w:eastAsia="宋体" w:cs="Times New Roman"/>
          <w:sz w:val="24"/>
          <w:szCs w:val="24"/>
          <w:vertAlign w:val="superscript"/>
        </w:rPr>
        <w:t>230</w:t>
      </w:r>
      <w:r>
        <w:rPr>
          <w:rFonts w:hint="default" w:ascii="Times New Roman" w:hAnsi="Times New Roman" w:eastAsia="宋体" w:cs="Times New Roman"/>
          <w:sz w:val="24"/>
          <w:szCs w:val="24"/>
        </w:rPr>
        <w:t>Th、</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Po</w:t>
      </w:r>
      <w:r>
        <w:rPr>
          <w:rFonts w:hint="default" w:ascii="Times New Roman" w:hAnsi="Times New Roman" w:eastAsia="宋体" w:cs="Times New Roman"/>
          <w:sz w:val="24"/>
          <w:szCs w:val="24"/>
          <w:lang w:val="en-US" w:eastAsia="zh-CN"/>
        </w:rPr>
        <w:t>作为重点核素考虑。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致癌风险系数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rPr>
        <w:t>致癌风险系数即单位摄入量或照射量导致的终身癌症风险增量</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RAIS（Risk Assessment Information System）数据库是由美国能源部（DOE）下属的橡树岭国家实验室（ORNL）开发并维护的放射性核素环境健康风险评估数据库。国际原子能机构（IAEA）作为联合国核能事务权威机构，制定全球性的安全标准</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如《基本安全标准》</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GSR Part3）</w:t>
      </w:r>
      <w:r>
        <w:rPr>
          <w:rFonts w:hint="default" w:ascii="Times New Roman" w:hAnsi="Times New Roman" w:eastAsia="宋体" w:cs="Times New Roman"/>
          <w:sz w:val="24"/>
          <w:szCs w:val="24"/>
          <w:lang w:val="en-US" w:eastAsia="zh-CN"/>
        </w:rPr>
        <w:t>等</w:t>
      </w:r>
      <w:r>
        <w:rPr>
          <w:rFonts w:hint="default" w:ascii="Times New Roman" w:hAnsi="Times New Roman" w:eastAsia="宋体" w:cs="Times New Roman"/>
          <w:sz w:val="24"/>
          <w:szCs w:val="24"/>
        </w:rPr>
        <w:t>，这些标准中推荐的致癌风险系数与许多国际权威机构的评估一致。RAIS数据库系统地整合了这些国际公认的数据</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如来自美国环境保护署</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EPA</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、国际放射防护委员会</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ICRP</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等，使其成为实践IAEA安全标准、进行剂量与风险评估的重要工具之一。因此，RAIS可被视为支持并符合IAEA框架下辐射防护实践的关键数据资源。通过RAIS数据库</w:t>
      </w:r>
      <w:r>
        <w:rPr>
          <w:rFonts w:hint="default" w:ascii="Times New Roman" w:hAnsi="Times New Roman" w:eastAsia="宋体" w:cs="Times New Roman"/>
          <w:sz w:val="24"/>
          <w:szCs w:val="24"/>
          <w:lang w:val="en-US" w:eastAsia="zh-CN"/>
        </w:rPr>
        <w:t>能够</w:t>
      </w:r>
      <w:r>
        <w:rPr>
          <w:rFonts w:hint="default" w:ascii="Times New Roman" w:hAnsi="Times New Roman" w:eastAsia="宋体" w:cs="Times New Roman"/>
          <w:sz w:val="24"/>
          <w:szCs w:val="24"/>
        </w:rPr>
        <w:t>检索特定放射性核素在不同暴露途径下的致癌风险系数</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通过对四种核素</w:t>
      </w:r>
      <w:r>
        <w:rPr>
          <w:rFonts w:hint="default" w:ascii="Times New Roman" w:hAnsi="Times New Roman" w:eastAsia="宋体" w:cs="Times New Roman"/>
          <w:sz w:val="24"/>
          <w:szCs w:val="24"/>
        </w:rPr>
        <w:t>致癌风险系数</w:t>
      </w:r>
      <w:r>
        <w:rPr>
          <w:rFonts w:hint="default" w:ascii="Times New Roman" w:hAnsi="Times New Roman" w:eastAsia="宋体" w:cs="Times New Roman"/>
          <w:sz w:val="24"/>
          <w:szCs w:val="24"/>
          <w:lang w:val="en-US" w:eastAsia="zh-CN"/>
        </w:rPr>
        <w:t>的比较，初</w:t>
      </w:r>
      <w:r>
        <w:rPr>
          <w:rFonts w:hint="default" w:ascii="Times New Roman" w:hAnsi="Times New Roman" w:eastAsia="宋体" w:cs="Times New Roman"/>
          <w:sz w:val="24"/>
          <w:szCs w:val="24"/>
          <w:highlight w:val="none"/>
          <w:lang w:val="en-US" w:eastAsia="zh-CN"/>
        </w:rPr>
        <w:t>步筛选出</w:t>
      </w:r>
      <w:r>
        <w:rPr>
          <w:rFonts w:hint="default" w:ascii="Times New Roman" w:hAnsi="Times New Roman" w:eastAsia="宋体" w:cs="Times New Roman"/>
          <w:sz w:val="24"/>
          <w:szCs w:val="24"/>
          <w:highlight w:val="none"/>
          <w:vertAlign w:val="superscript"/>
        </w:rPr>
        <w:t>226</w:t>
      </w:r>
      <w:r>
        <w:rPr>
          <w:rFonts w:hint="default" w:ascii="Times New Roman" w:hAnsi="Times New Roman" w:eastAsia="宋体" w:cs="Times New Roman"/>
          <w:sz w:val="24"/>
          <w:szCs w:val="24"/>
          <w:highlight w:val="none"/>
        </w:rPr>
        <w:t>Ra、</w:t>
      </w:r>
      <w:r>
        <w:rPr>
          <w:rFonts w:hint="default" w:ascii="Times New Roman" w:hAnsi="Times New Roman" w:eastAsia="宋体" w:cs="Times New Roman"/>
          <w:sz w:val="24"/>
          <w:szCs w:val="24"/>
          <w:highlight w:val="none"/>
          <w:vertAlign w:val="superscript"/>
        </w:rPr>
        <w:t>210</w:t>
      </w:r>
      <w:r>
        <w:rPr>
          <w:rFonts w:hint="default" w:ascii="Times New Roman" w:hAnsi="Times New Roman" w:eastAsia="宋体" w:cs="Times New Roman"/>
          <w:sz w:val="24"/>
          <w:szCs w:val="24"/>
          <w:highlight w:val="none"/>
        </w:rPr>
        <w:t>Pb、</w:t>
      </w:r>
      <w:r>
        <w:rPr>
          <w:rFonts w:hint="default" w:ascii="Times New Roman" w:hAnsi="Times New Roman" w:eastAsia="宋体" w:cs="Times New Roman"/>
          <w:sz w:val="24"/>
          <w:szCs w:val="24"/>
          <w:highlight w:val="none"/>
          <w:vertAlign w:val="superscript"/>
        </w:rPr>
        <w:t>210</w:t>
      </w:r>
      <w:r>
        <w:rPr>
          <w:rFonts w:hint="default" w:ascii="Times New Roman" w:hAnsi="Times New Roman" w:eastAsia="宋体" w:cs="Times New Roman"/>
          <w:sz w:val="24"/>
          <w:szCs w:val="24"/>
          <w:highlight w:val="none"/>
        </w:rPr>
        <w:t>Po</w:t>
      </w:r>
      <w:r>
        <w:rPr>
          <w:rFonts w:hint="default" w:ascii="Times New Roman" w:hAnsi="Times New Roman" w:eastAsia="宋体" w:cs="Times New Roman"/>
          <w:sz w:val="24"/>
          <w:szCs w:val="24"/>
          <w:highlight w:val="none"/>
          <w:lang w:val="en-US" w:eastAsia="zh-CN"/>
        </w:rPr>
        <w:t>作为重点核素考虑。</w:t>
      </w:r>
    </w:p>
    <w:p>
      <w:pPr>
        <w:pStyle w:val="2"/>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sz w:val="24"/>
          <w:szCs w:val="24"/>
          <w:highlight w:val="none"/>
        </w:rPr>
      </w:pPr>
      <w:r>
        <w:rPr>
          <w:rFonts w:hint="eastAsia" w:ascii="Times New Roman" w:cs="Times New Roman"/>
          <w:sz w:val="24"/>
          <w:szCs w:val="24"/>
          <w:highlight w:val="none"/>
          <w:lang w:val="en-US" w:eastAsia="zh-CN"/>
        </w:rPr>
        <w:t>4）</w:t>
      </w:r>
      <w:r>
        <w:rPr>
          <w:rFonts w:hint="default" w:ascii="Times New Roman" w:hAnsi="Times New Roman" w:eastAsia="宋体" w:cs="Times New Roman"/>
          <w:sz w:val="24"/>
          <w:szCs w:val="24"/>
          <w:highlight w:val="none"/>
        </w:rPr>
        <w:t>剂量转换因子</w:t>
      </w:r>
    </w:p>
    <w:p>
      <w:pPr>
        <w:pStyle w:val="2"/>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highlight w:val="none"/>
        </w:rPr>
        <w:t>食入剂量转换因子是指公众通过饮食摄入一定活度的核素所造成的个人有效剂量，是建立在胃肠道模型基础上计算得到的。GB18871给出了各种核素不同肠道转移因子下公众食入放射性核素的剂量转换因子。</w:t>
      </w:r>
      <w:r>
        <w:rPr>
          <w:rFonts w:hint="default" w:ascii="Times New Roman" w:hAnsi="Times New Roman" w:eastAsia="宋体" w:cs="Times New Roman"/>
          <w:sz w:val="24"/>
          <w:szCs w:val="24"/>
          <w:highlight w:val="none"/>
          <w:lang w:val="en-US" w:eastAsia="zh-CN"/>
        </w:rPr>
        <w:t>通过对四种核素</w:t>
      </w:r>
      <w:r>
        <w:rPr>
          <w:rFonts w:hint="default" w:ascii="Times New Roman" w:hAnsi="Times New Roman" w:eastAsia="宋体" w:cs="Times New Roman"/>
          <w:sz w:val="24"/>
          <w:szCs w:val="24"/>
          <w:highlight w:val="none"/>
        </w:rPr>
        <w:t>剂量转换因子</w:t>
      </w:r>
      <w:r>
        <w:rPr>
          <w:rFonts w:hint="default" w:ascii="Times New Roman" w:hAnsi="Times New Roman" w:eastAsia="宋体" w:cs="Times New Roman"/>
          <w:sz w:val="24"/>
          <w:szCs w:val="24"/>
          <w:lang w:val="en-US" w:eastAsia="zh-CN"/>
        </w:rPr>
        <w:t>的比较，初步筛选出</w:t>
      </w: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Pb、</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Po</w:t>
      </w:r>
      <w:r>
        <w:rPr>
          <w:rFonts w:hint="default" w:ascii="Times New Roman" w:hAnsi="Times New Roman" w:eastAsia="宋体" w:cs="Times New Roman"/>
          <w:sz w:val="24"/>
          <w:szCs w:val="24"/>
          <w:lang w:val="en-US" w:eastAsia="zh-CN"/>
        </w:rPr>
        <w:t>作为重点核素考虑。</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default" w:ascii="Times New Roman" w:hAnsi="Times New Roman" w:eastAsia="宋体" w:cs="Times New Roman"/>
          <w:sz w:val="24"/>
          <w:szCs w:val="24"/>
          <w:vertAlign w:val="superscript"/>
        </w:rPr>
        <w:t>230</w:t>
      </w:r>
      <w:r>
        <w:rPr>
          <w:rFonts w:hint="default" w:ascii="Times New Roman" w:hAnsi="Times New Roman" w:eastAsia="宋体" w:cs="Times New Roman"/>
          <w:sz w:val="24"/>
          <w:szCs w:val="24"/>
        </w:rPr>
        <w:t>Th、</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Pb、</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Po</w:t>
      </w:r>
      <w:r>
        <w:rPr>
          <w:rFonts w:hint="eastAsia" w:ascii="Times New Roman" w:hAnsi="Times New Roman" w:eastAsia="宋体" w:cs="Times New Roman"/>
          <w:sz w:val="24"/>
          <w:szCs w:val="24"/>
          <w:lang w:val="en-US" w:eastAsia="zh-CN"/>
        </w:rPr>
        <w:t>比较情况见表1。</w:t>
      </w:r>
    </w:p>
    <w:p>
      <w:pPr>
        <w:pageBreakBefore w:val="0"/>
        <w:kinsoku/>
        <w:wordWrap/>
        <w:overflowPunct/>
        <w:topLinePunct w:val="0"/>
        <w:bidi w:val="0"/>
        <w:spacing w:line="520" w:lineRule="exact"/>
        <w:jc w:val="center"/>
        <w:textAlignment w:val="auto"/>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lang w:val="en-US" w:eastAsia="zh-CN"/>
        </w:rPr>
        <w:t>表1  几种核素比较情况一览表</w:t>
      </w:r>
    </w:p>
    <w:tbl>
      <w:tblPr>
        <w:tblStyle w:val="10"/>
        <w:tblW w:w="5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163"/>
        <w:gridCol w:w="1089"/>
        <w:gridCol w:w="1316"/>
        <w:gridCol w:w="2108"/>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3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核素</w:t>
            </w:r>
          </w:p>
        </w:tc>
        <w:tc>
          <w:tcPr>
            <w:tcW w:w="68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半衰期（a）</w:t>
            </w:r>
          </w:p>
        </w:tc>
        <w:tc>
          <w:tcPr>
            <w:tcW w:w="6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放射性</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毒性</w:t>
            </w:r>
          </w:p>
        </w:tc>
        <w:tc>
          <w:tcPr>
            <w:tcW w:w="771"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衰变方式</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致癌风险系数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（以食入途径为例，</w:t>
            </w:r>
            <w:r>
              <w:rPr>
                <w:rFonts w:hint="default" w:ascii="Times New Roman" w:hAnsi="Times New Roman" w:eastAsia="宋体" w:cs="Times New Roman"/>
                <w:sz w:val="21"/>
                <w:szCs w:val="21"/>
              </w:rPr>
              <w:t>Bq</w:t>
            </w:r>
            <w:r>
              <w:rPr>
                <w:rFonts w:hint="default" w:ascii="Times New Roman" w:hAnsi="Times New Roman" w:eastAsia="宋体" w:cs="Times New Roman"/>
                <w:sz w:val="21"/>
                <w:szCs w:val="21"/>
                <w:vertAlign w:val="superscript"/>
              </w:rPr>
              <w:t>-1</w:t>
            </w:r>
            <w:r>
              <w:rPr>
                <w:rFonts w:hint="default" w:ascii="Times New Roman" w:hAnsi="Times New Roman" w:eastAsia="宋体" w:cs="Times New Roman"/>
                <w:b w:val="0"/>
                <w:bCs w:val="0"/>
                <w:sz w:val="21"/>
                <w:szCs w:val="21"/>
                <w:vertAlign w:val="baseline"/>
                <w:lang w:val="en-US" w:eastAsia="zh-CN"/>
              </w:rPr>
              <w:t>）</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highlight w:val="none"/>
                <w:vertAlign w:val="baseline"/>
                <w:lang w:val="en-US" w:eastAsia="zh-CN"/>
              </w:rPr>
            </w:pPr>
            <w:r>
              <w:rPr>
                <w:rFonts w:hint="default" w:ascii="Times New Roman" w:hAnsi="Times New Roman" w:eastAsia="宋体" w:cs="Times New Roman"/>
                <w:b w:val="0"/>
                <w:bCs w:val="0"/>
                <w:sz w:val="21"/>
                <w:szCs w:val="21"/>
                <w:highlight w:val="none"/>
                <w:vertAlign w:val="baseline"/>
                <w:lang w:val="en-US" w:eastAsia="zh-CN"/>
              </w:rPr>
              <w:t>剂量转换因子</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highlight w:val="none"/>
                <w:vertAlign w:val="baseline"/>
                <w:lang w:val="en-US" w:eastAsia="zh-CN"/>
              </w:rPr>
            </w:pPr>
            <w:r>
              <w:rPr>
                <w:rFonts w:hint="default" w:ascii="Times New Roman" w:hAnsi="Times New Roman" w:eastAsia="宋体" w:cs="Times New Roman"/>
                <w:b w:val="0"/>
                <w:bCs w:val="0"/>
                <w:sz w:val="21"/>
                <w:szCs w:val="21"/>
                <w:highlight w:val="none"/>
              </w:rPr>
              <w:t>（</w:t>
            </w:r>
            <w:r>
              <w:rPr>
                <w:rFonts w:hint="default" w:ascii="Times New Roman" w:hAnsi="Times New Roman" w:eastAsia="宋体" w:cs="Times New Roman"/>
                <w:b w:val="0"/>
                <w:bCs w:val="0"/>
                <w:sz w:val="21"/>
                <w:szCs w:val="21"/>
                <w:highlight w:val="none"/>
                <w:lang w:val="en-US" w:eastAsia="zh-CN"/>
              </w:rPr>
              <w:t>以</w:t>
            </w:r>
            <w:r>
              <w:rPr>
                <w:rFonts w:hint="default" w:ascii="Times New Roman" w:hAnsi="Times New Roman" w:eastAsia="宋体" w:cs="Times New Roman"/>
                <w:b w:val="0"/>
                <w:bCs w:val="0"/>
                <w:sz w:val="21"/>
                <w:szCs w:val="21"/>
                <w:highlight w:val="none"/>
                <w:vertAlign w:val="baseline"/>
                <w:lang w:val="en-US" w:eastAsia="zh-CN"/>
              </w:rPr>
              <w:t>食入途径为例</w:t>
            </w:r>
            <w:r>
              <w:rPr>
                <w:rFonts w:hint="default" w:ascii="Times New Roman" w:hAnsi="Times New Roman" w:eastAsia="宋体" w:cs="Times New Roman"/>
                <w:b w:val="0"/>
                <w:bCs w:val="0"/>
                <w:sz w:val="21"/>
                <w:szCs w:val="21"/>
                <w:highlight w:val="none"/>
                <w:lang w:val="en-US" w:eastAsia="zh-CN"/>
              </w:rPr>
              <w:t>，</w:t>
            </w:r>
            <w:r>
              <w:rPr>
                <w:rFonts w:hint="default" w:ascii="Times New Roman" w:hAnsi="Times New Roman" w:eastAsia="宋体" w:cs="Times New Roman"/>
                <w:b w:val="0"/>
                <w:bCs w:val="0"/>
                <w:sz w:val="21"/>
                <w:szCs w:val="21"/>
                <w:highlight w:val="none"/>
              </w:rPr>
              <w:t>Sv/Bq）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superscript"/>
              </w:rPr>
              <w:t>226</w:t>
            </w:r>
            <w:r>
              <w:rPr>
                <w:rFonts w:hint="default" w:ascii="Times New Roman" w:hAnsi="Times New Roman" w:eastAsia="宋体" w:cs="Times New Roman"/>
                <w:b w:val="0"/>
                <w:bCs w:val="0"/>
                <w:sz w:val="21"/>
                <w:szCs w:val="21"/>
              </w:rPr>
              <w:t>Ra</w:t>
            </w:r>
          </w:p>
        </w:tc>
        <w:tc>
          <w:tcPr>
            <w:tcW w:w="68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i w:val="0"/>
                <w:iCs w:val="0"/>
                <w:caps w:val="0"/>
                <w:color w:val="000000"/>
                <w:spacing w:val="0"/>
                <w:sz w:val="21"/>
                <w:szCs w:val="21"/>
                <w:shd w:val="clear" w:fill="FFFFFF"/>
              </w:rPr>
              <w:t>1600</w:t>
            </w:r>
          </w:p>
        </w:tc>
        <w:tc>
          <w:tcPr>
            <w:tcW w:w="6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bookmarkStart w:id="8" w:name="OLE_LINK1"/>
            <w:r>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t>极毒组</w:t>
            </w:r>
            <w:bookmarkEnd w:id="8"/>
          </w:p>
        </w:tc>
        <w:tc>
          <w:tcPr>
            <w:tcW w:w="771"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pPr>
            <w:r>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t>α衰变</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1.39</w:t>
            </w:r>
            <w:r>
              <w:rPr>
                <w:rFonts w:hint="default" w:ascii="Times New Roman" w:hAnsi="Times New Roman" w:eastAsia="宋体" w:cs="Times New Roman"/>
                <w:b w:val="0"/>
                <w:bCs w:val="0"/>
                <w:sz w:val="21"/>
                <w:szCs w:val="21"/>
                <w:highlight w:val="none"/>
              </w:rPr>
              <w:sym w:font="Symbol" w:char="F0B4"/>
            </w:r>
            <w:r>
              <w:rPr>
                <w:rFonts w:hint="default" w:ascii="Times New Roman" w:hAnsi="Times New Roman" w:eastAsia="宋体" w:cs="Times New Roman"/>
                <w:i w:val="0"/>
                <w:iCs w:val="0"/>
                <w:color w:val="000000"/>
                <w:kern w:val="0"/>
                <w:sz w:val="21"/>
                <w:szCs w:val="21"/>
                <w:u w:val="none"/>
                <w:lang w:val="en-US" w:eastAsia="zh-CN" w:bidi="ar"/>
              </w:rPr>
              <w:t>10</w:t>
            </w:r>
            <w:r>
              <w:rPr>
                <w:rFonts w:hint="default" w:ascii="Times New Roman" w:hAnsi="Times New Roman" w:eastAsia="宋体" w:cs="Times New Roman"/>
                <w:i w:val="0"/>
                <w:iCs w:val="0"/>
                <w:color w:val="000000"/>
                <w:kern w:val="0"/>
                <w:sz w:val="21"/>
                <w:szCs w:val="21"/>
                <w:u w:val="none"/>
                <w:vertAlign w:val="superscript"/>
                <w:lang w:val="en-US" w:eastAsia="zh-CN" w:bidi="ar"/>
              </w:rPr>
              <w:t>-8</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sz w:val="21"/>
                <w:szCs w:val="21"/>
                <w:highlight w:val="none"/>
              </w:rPr>
              <w:t>2.8</w:t>
            </w:r>
            <w:r>
              <w:rPr>
                <w:rFonts w:hint="default" w:ascii="Times New Roman" w:hAnsi="Times New Roman" w:eastAsia="宋体" w:cs="Times New Roman"/>
                <w:b w:val="0"/>
                <w:bCs w:val="0"/>
                <w:sz w:val="21"/>
                <w:szCs w:val="21"/>
                <w:highlight w:val="none"/>
              </w:rPr>
              <w:sym w:font="Symbol" w:char="F0B4"/>
            </w:r>
            <w:r>
              <w:rPr>
                <w:rFonts w:hint="default" w:ascii="Times New Roman" w:hAnsi="Times New Roman" w:eastAsia="宋体" w:cs="Times New Roman"/>
                <w:b w:val="0"/>
                <w:bCs w:val="0"/>
                <w:sz w:val="21"/>
                <w:szCs w:val="21"/>
                <w:highlight w:val="none"/>
              </w:rPr>
              <w:t>10</w:t>
            </w:r>
            <w:r>
              <w:rPr>
                <w:rFonts w:hint="default" w:ascii="Times New Roman" w:hAnsi="Times New Roman" w:eastAsia="宋体" w:cs="Times New Roman"/>
                <w:b w:val="0"/>
                <w:bCs w:val="0"/>
                <w:sz w:val="21"/>
                <w:szCs w:val="21"/>
                <w:highlight w:val="none"/>
                <w:vertAlign w:val="superscript"/>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superscript"/>
              </w:rPr>
              <w:t>230</w:t>
            </w:r>
            <w:r>
              <w:rPr>
                <w:rFonts w:hint="default" w:ascii="Times New Roman" w:hAnsi="Times New Roman" w:eastAsia="宋体" w:cs="Times New Roman"/>
                <w:b w:val="0"/>
                <w:bCs w:val="0"/>
                <w:sz w:val="21"/>
                <w:szCs w:val="21"/>
              </w:rPr>
              <w:t>Th</w:t>
            </w:r>
          </w:p>
        </w:tc>
        <w:tc>
          <w:tcPr>
            <w:tcW w:w="68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i w:val="0"/>
                <w:iCs w:val="0"/>
                <w:caps w:val="0"/>
                <w:color w:val="000000"/>
                <w:spacing w:val="0"/>
                <w:sz w:val="21"/>
                <w:szCs w:val="21"/>
                <w:shd w:val="clear" w:fill="FFFFFF"/>
              </w:rPr>
              <w:t>7.54×10⁴</w:t>
            </w:r>
          </w:p>
        </w:tc>
        <w:tc>
          <w:tcPr>
            <w:tcW w:w="6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t>极毒组</w:t>
            </w:r>
          </w:p>
        </w:tc>
        <w:tc>
          <w:tcPr>
            <w:tcW w:w="771"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pPr>
            <w:r>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t>α衰变</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3.22</w:t>
            </w:r>
            <w:r>
              <w:rPr>
                <w:rFonts w:hint="default" w:ascii="Times New Roman" w:hAnsi="Times New Roman" w:eastAsia="宋体" w:cs="Times New Roman"/>
                <w:b w:val="0"/>
                <w:bCs w:val="0"/>
                <w:sz w:val="21"/>
                <w:szCs w:val="21"/>
                <w:highlight w:val="none"/>
              </w:rPr>
              <w:sym w:font="Symbol" w:char="F0B4"/>
            </w:r>
            <w:r>
              <w:rPr>
                <w:rFonts w:hint="default" w:ascii="Times New Roman" w:hAnsi="Times New Roman" w:eastAsia="宋体" w:cs="Times New Roman"/>
                <w:i w:val="0"/>
                <w:iCs w:val="0"/>
                <w:color w:val="000000"/>
                <w:kern w:val="0"/>
                <w:sz w:val="21"/>
                <w:szCs w:val="21"/>
                <w:u w:val="none"/>
                <w:lang w:val="en-US" w:eastAsia="zh-CN" w:bidi="ar"/>
              </w:rPr>
              <w:t>10</w:t>
            </w:r>
            <w:r>
              <w:rPr>
                <w:rFonts w:hint="default" w:ascii="Times New Roman" w:hAnsi="Times New Roman" w:eastAsia="宋体" w:cs="Times New Roman"/>
                <w:i w:val="0"/>
                <w:iCs w:val="0"/>
                <w:color w:val="000000"/>
                <w:kern w:val="0"/>
                <w:sz w:val="21"/>
                <w:szCs w:val="21"/>
                <w:u w:val="none"/>
                <w:vertAlign w:val="superscript"/>
                <w:lang w:val="en-US" w:eastAsia="zh-CN" w:bidi="ar"/>
              </w:rPr>
              <w:t>-9</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sz w:val="21"/>
                <w:szCs w:val="21"/>
                <w:highlight w:val="none"/>
              </w:rPr>
              <w:t>2.1</w:t>
            </w:r>
            <w:r>
              <w:rPr>
                <w:rFonts w:hint="default" w:ascii="Times New Roman" w:hAnsi="Times New Roman" w:eastAsia="宋体" w:cs="Times New Roman"/>
                <w:b w:val="0"/>
                <w:bCs w:val="0"/>
                <w:sz w:val="21"/>
                <w:szCs w:val="21"/>
                <w:highlight w:val="none"/>
              </w:rPr>
              <w:sym w:font="Symbol" w:char="F0B4"/>
            </w:r>
            <w:r>
              <w:rPr>
                <w:rFonts w:hint="default" w:ascii="Times New Roman" w:hAnsi="Times New Roman" w:eastAsia="宋体" w:cs="Times New Roman"/>
                <w:b w:val="0"/>
                <w:bCs w:val="0"/>
                <w:sz w:val="21"/>
                <w:szCs w:val="21"/>
                <w:highlight w:val="none"/>
              </w:rPr>
              <w:t>10</w:t>
            </w:r>
            <w:r>
              <w:rPr>
                <w:rFonts w:hint="default" w:ascii="Times New Roman" w:hAnsi="Times New Roman" w:eastAsia="宋体" w:cs="Times New Roman"/>
                <w:b w:val="0"/>
                <w:bCs w:val="0"/>
                <w:sz w:val="21"/>
                <w:szCs w:val="21"/>
                <w:highlight w:val="none"/>
                <w:vertAlign w:val="superscript"/>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superscript"/>
              </w:rPr>
              <w:t>210</w:t>
            </w:r>
            <w:r>
              <w:rPr>
                <w:rFonts w:hint="default" w:ascii="Times New Roman" w:hAnsi="Times New Roman" w:eastAsia="宋体" w:cs="Times New Roman"/>
                <w:b w:val="0"/>
                <w:bCs w:val="0"/>
                <w:sz w:val="21"/>
                <w:szCs w:val="21"/>
              </w:rPr>
              <w:t>Pb</w:t>
            </w:r>
          </w:p>
        </w:tc>
        <w:tc>
          <w:tcPr>
            <w:tcW w:w="68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i w:val="0"/>
                <w:iCs w:val="0"/>
                <w:caps w:val="0"/>
                <w:color w:val="000000"/>
                <w:spacing w:val="0"/>
                <w:sz w:val="21"/>
                <w:szCs w:val="21"/>
                <w:shd w:val="clear" w:fill="FFFFFF"/>
              </w:rPr>
              <w:t>22.2</w:t>
            </w:r>
          </w:p>
        </w:tc>
        <w:tc>
          <w:tcPr>
            <w:tcW w:w="6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t>高毒组</w:t>
            </w:r>
          </w:p>
        </w:tc>
        <w:tc>
          <w:tcPr>
            <w:tcW w:w="771"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pPr>
            <w:r>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t>β衰变</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3.18</w:t>
            </w:r>
            <w:r>
              <w:rPr>
                <w:rFonts w:hint="default" w:ascii="Times New Roman" w:hAnsi="Times New Roman" w:eastAsia="宋体" w:cs="Times New Roman"/>
                <w:b w:val="0"/>
                <w:bCs w:val="0"/>
                <w:sz w:val="21"/>
                <w:szCs w:val="21"/>
                <w:highlight w:val="none"/>
              </w:rPr>
              <w:sym w:font="Symbol" w:char="F0B4"/>
            </w:r>
            <w:r>
              <w:rPr>
                <w:rFonts w:hint="default" w:ascii="Times New Roman" w:hAnsi="Times New Roman" w:eastAsia="宋体" w:cs="Times New Roman"/>
                <w:i w:val="0"/>
                <w:iCs w:val="0"/>
                <w:color w:val="000000"/>
                <w:kern w:val="0"/>
                <w:sz w:val="21"/>
                <w:szCs w:val="21"/>
                <w:u w:val="none"/>
                <w:lang w:val="en-US" w:eastAsia="zh-CN" w:bidi="ar"/>
              </w:rPr>
              <w:t>10</w:t>
            </w:r>
            <w:r>
              <w:rPr>
                <w:rFonts w:hint="default" w:ascii="Times New Roman" w:hAnsi="Times New Roman" w:eastAsia="宋体" w:cs="Times New Roman"/>
                <w:i w:val="0"/>
                <w:iCs w:val="0"/>
                <w:color w:val="000000"/>
                <w:kern w:val="0"/>
                <w:sz w:val="21"/>
                <w:szCs w:val="21"/>
                <w:u w:val="none"/>
                <w:vertAlign w:val="superscript"/>
                <w:lang w:val="en-US" w:eastAsia="zh-CN" w:bidi="ar"/>
              </w:rPr>
              <w:t>-8</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sz w:val="21"/>
                <w:szCs w:val="21"/>
                <w:highlight w:val="none"/>
              </w:rPr>
              <w:t>6.9</w:t>
            </w:r>
            <w:r>
              <w:rPr>
                <w:rFonts w:hint="default" w:ascii="Times New Roman" w:hAnsi="Times New Roman" w:eastAsia="宋体" w:cs="Times New Roman"/>
                <w:b w:val="0"/>
                <w:bCs w:val="0"/>
                <w:sz w:val="21"/>
                <w:szCs w:val="21"/>
                <w:highlight w:val="none"/>
              </w:rPr>
              <w:sym w:font="Symbol" w:char="F0B4"/>
            </w:r>
            <w:r>
              <w:rPr>
                <w:rFonts w:hint="default" w:ascii="Times New Roman" w:hAnsi="Times New Roman" w:eastAsia="宋体" w:cs="Times New Roman"/>
                <w:b w:val="0"/>
                <w:bCs w:val="0"/>
                <w:sz w:val="21"/>
                <w:szCs w:val="21"/>
                <w:highlight w:val="none"/>
              </w:rPr>
              <w:t>10</w:t>
            </w:r>
            <w:r>
              <w:rPr>
                <w:rFonts w:hint="default" w:ascii="Times New Roman" w:hAnsi="Times New Roman" w:eastAsia="宋体" w:cs="Times New Roman"/>
                <w:b w:val="0"/>
                <w:bCs w:val="0"/>
                <w:sz w:val="21"/>
                <w:szCs w:val="21"/>
                <w:highlight w:val="none"/>
                <w:vertAlign w:val="superscript"/>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superscript"/>
              </w:rPr>
              <w:t>210</w:t>
            </w:r>
            <w:r>
              <w:rPr>
                <w:rFonts w:hint="default" w:ascii="Times New Roman" w:hAnsi="Times New Roman" w:eastAsia="宋体" w:cs="Times New Roman"/>
                <w:b w:val="0"/>
                <w:bCs w:val="0"/>
                <w:sz w:val="21"/>
                <w:szCs w:val="21"/>
              </w:rPr>
              <w:t>Po</w:t>
            </w:r>
          </w:p>
        </w:tc>
        <w:tc>
          <w:tcPr>
            <w:tcW w:w="682"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0.379</w:t>
            </w:r>
          </w:p>
        </w:tc>
        <w:tc>
          <w:tcPr>
            <w:tcW w:w="63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t>极毒组</w:t>
            </w:r>
          </w:p>
        </w:tc>
        <w:tc>
          <w:tcPr>
            <w:tcW w:w="771"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pPr>
            <w:r>
              <w:rPr>
                <w:rStyle w:val="13"/>
                <w:rFonts w:hint="default" w:ascii="Times New Roman" w:hAnsi="Times New Roman" w:eastAsia="宋体" w:cs="Times New Roman"/>
                <w:b w:val="0"/>
                <w:bCs w:val="0"/>
                <w:i w:val="0"/>
                <w:iCs w:val="0"/>
                <w:caps w:val="0"/>
                <w:color w:val="000000"/>
                <w:spacing w:val="0"/>
                <w:sz w:val="21"/>
                <w:szCs w:val="21"/>
                <w:shd w:val="clear" w:fill="FFFFFF"/>
                <w:vertAlign w:val="baseline"/>
              </w:rPr>
              <w:t>α衰变</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6.09</w:t>
            </w:r>
            <w:r>
              <w:rPr>
                <w:rFonts w:hint="default" w:ascii="Times New Roman" w:hAnsi="Times New Roman" w:eastAsia="宋体" w:cs="Times New Roman"/>
                <w:b w:val="0"/>
                <w:bCs w:val="0"/>
                <w:sz w:val="21"/>
                <w:szCs w:val="21"/>
                <w:highlight w:val="none"/>
              </w:rPr>
              <w:sym w:font="Symbol" w:char="F0B4"/>
            </w:r>
            <w:r>
              <w:rPr>
                <w:rFonts w:hint="default" w:ascii="Times New Roman" w:hAnsi="Times New Roman" w:eastAsia="宋体" w:cs="Times New Roman"/>
                <w:i w:val="0"/>
                <w:iCs w:val="0"/>
                <w:color w:val="000000"/>
                <w:kern w:val="0"/>
                <w:sz w:val="21"/>
                <w:szCs w:val="21"/>
                <w:u w:val="none"/>
                <w:lang w:val="en-US" w:eastAsia="zh-CN" w:bidi="ar"/>
              </w:rPr>
              <w:t>10</w:t>
            </w:r>
            <w:r>
              <w:rPr>
                <w:rFonts w:hint="default" w:ascii="Times New Roman" w:hAnsi="Times New Roman" w:eastAsia="宋体" w:cs="Times New Roman"/>
                <w:i w:val="0"/>
                <w:iCs w:val="0"/>
                <w:color w:val="000000"/>
                <w:kern w:val="0"/>
                <w:sz w:val="21"/>
                <w:szCs w:val="21"/>
                <w:u w:val="none"/>
                <w:vertAlign w:val="superscript"/>
                <w:lang w:val="en-US" w:eastAsia="zh-CN" w:bidi="ar"/>
              </w:rPr>
              <w:t>-8</w:t>
            </w:r>
          </w:p>
        </w:tc>
        <w:tc>
          <w:tcPr>
            <w:tcW w:w="123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b w:val="0"/>
                <w:bCs w:val="0"/>
                <w:sz w:val="21"/>
                <w:szCs w:val="21"/>
                <w:highlight w:val="none"/>
              </w:rPr>
              <w:t>1.2</w:t>
            </w:r>
            <w:r>
              <w:rPr>
                <w:rFonts w:hint="default" w:ascii="Times New Roman" w:hAnsi="Times New Roman" w:eastAsia="宋体" w:cs="Times New Roman"/>
                <w:b w:val="0"/>
                <w:bCs w:val="0"/>
                <w:sz w:val="21"/>
                <w:szCs w:val="21"/>
                <w:highlight w:val="none"/>
              </w:rPr>
              <w:sym w:font="Symbol" w:char="F0B4"/>
            </w:r>
            <w:r>
              <w:rPr>
                <w:rFonts w:hint="default" w:ascii="Times New Roman" w:hAnsi="Times New Roman" w:eastAsia="宋体" w:cs="Times New Roman"/>
                <w:b w:val="0"/>
                <w:bCs w:val="0"/>
                <w:sz w:val="21"/>
                <w:szCs w:val="21"/>
                <w:highlight w:val="none"/>
              </w:rPr>
              <w:t>10</w:t>
            </w:r>
            <w:r>
              <w:rPr>
                <w:rFonts w:hint="default" w:ascii="Times New Roman" w:hAnsi="Times New Roman" w:eastAsia="宋体" w:cs="Times New Roman"/>
                <w:b w:val="0"/>
                <w:bCs w:val="0"/>
                <w:sz w:val="21"/>
                <w:szCs w:val="21"/>
                <w:highlight w:val="none"/>
                <w:vertAlign w:val="superscript"/>
              </w:rPr>
              <w:t>-6</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5）源项调查数据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宋体" w:cs="Times New Roman"/>
          <w:sz w:val="24"/>
          <w:szCs w:val="24"/>
          <w:lang w:val="en-US" w:eastAsia="zh-CN"/>
        </w:rPr>
        <w:t>对于人工</w:t>
      </w:r>
      <w:r>
        <w:rPr>
          <w:rFonts w:hint="default" w:ascii="Times New Roman" w:hAnsi="Times New Roman" w:eastAsia="宋体" w:cs="Times New Roman"/>
          <w:sz w:val="24"/>
          <w:szCs w:val="24"/>
          <w:lang w:val="zh-CN" w:eastAsia="zh-CN"/>
        </w:rPr>
        <w:t>修复</w:t>
      </w:r>
      <w:r>
        <w:rPr>
          <w:rFonts w:hint="eastAsia" w:ascii="Times New Roman" w:hAnsi="Times New Roman" w:eastAsia="宋体" w:cs="Times New Roman"/>
          <w:sz w:val="24"/>
          <w:szCs w:val="24"/>
          <w:lang w:val="en-US" w:eastAsia="zh-CN"/>
        </w:rPr>
        <w:t>和辅助修复</w:t>
      </w:r>
      <w:r>
        <w:rPr>
          <w:rFonts w:hint="default" w:ascii="Times New Roman" w:hAnsi="Times New Roman" w:eastAsia="宋体" w:cs="Times New Roman"/>
          <w:sz w:val="24"/>
          <w:szCs w:val="24"/>
          <w:lang w:val="zh-CN" w:eastAsia="zh-CN"/>
        </w:rPr>
        <w:t>类</w:t>
      </w:r>
      <w:r>
        <w:rPr>
          <w:rFonts w:hint="eastAsia" w:ascii="Times New Roman" w:hAnsi="Times New Roman" w:eastAsia="宋体" w:cs="Times New Roman"/>
          <w:sz w:val="24"/>
          <w:szCs w:val="24"/>
          <w:lang w:val="en-US" w:eastAsia="zh-CN"/>
        </w:rPr>
        <w:t>地浸铀矿山，地下水修复分为两个阶段，第一阶段是终采区停止注入浸出剂后的抽注循环（铀回收）预修复阶段，第二阶段是施加</w:t>
      </w:r>
      <w:r>
        <w:rPr>
          <w:rFonts w:hint="default" w:ascii="Times New Roman" w:hAnsi="Times New Roman" w:eastAsia="宋体" w:cs="Times New Roman"/>
          <w:sz w:val="24"/>
          <w:szCs w:val="24"/>
          <w:lang w:val="zh-CN" w:eastAsia="zh-CN"/>
        </w:rPr>
        <w:t>人工修复</w:t>
      </w:r>
      <w:r>
        <w:rPr>
          <w:rFonts w:hint="eastAsia" w:ascii="Times New Roman" w:hAnsi="Times New Roman" w:eastAsia="宋体" w:cs="Times New Roman"/>
          <w:sz w:val="24"/>
          <w:szCs w:val="24"/>
          <w:lang w:val="en-US" w:eastAsia="zh-CN"/>
        </w:rPr>
        <w:t>措施阶段。以采用中性工艺的通辽铀业钱Ⅱ块C3采区和采用酸法工艺的</w:t>
      </w:r>
      <w:bookmarkStart w:id="9" w:name="OLE_LINK4"/>
      <w:r>
        <w:rPr>
          <w:rFonts w:hint="eastAsia" w:ascii="Times New Roman" w:hAnsi="Times New Roman" w:eastAsia="宋体" w:cs="Times New Roman"/>
          <w:sz w:val="24"/>
          <w:szCs w:val="24"/>
          <w:lang w:val="en-US" w:eastAsia="zh-CN"/>
        </w:rPr>
        <w:t>天山铀业737厂15#采区</w:t>
      </w:r>
      <w:bookmarkEnd w:id="9"/>
      <w:r>
        <w:rPr>
          <w:rFonts w:hint="eastAsia" w:ascii="Times New Roman" w:hAnsi="Times New Roman" w:eastAsia="宋体" w:cs="Times New Roman"/>
          <w:sz w:val="24"/>
          <w:szCs w:val="24"/>
          <w:lang w:val="en-US" w:eastAsia="zh-CN"/>
        </w:rPr>
        <w:t>两个典型终采区为例，2026年初，通辽铀业对钱Ⅱ块C3采区47个钻孔开展了地下水现场源项调查取样分析（11个钻孔为5核素分析），天山铀业对737厂15#采区55个钻孔开展了地下水现场源项调查取样分析（10个钻孔为5核素分析）。结果显示，</w:t>
      </w:r>
      <w:r>
        <w:rPr>
          <w:rFonts w:hint="default" w:ascii="Times New Roman" w:hAnsi="Times New Roman" w:eastAsia="宋体" w:cs="Times New Roman"/>
          <w:sz w:val="24"/>
          <w:szCs w:val="24"/>
          <w:lang w:val="en-US" w:eastAsia="zh-CN"/>
        </w:rPr>
        <w:t>铅-210</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Pb</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、钋-210</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vertAlign w:val="superscript"/>
        </w:rPr>
        <w:t>210</w:t>
      </w:r>
      <w:r>
        <w:rPr>
          <w:rFonts w:hint="default" w:ascii="Times New Roman" w:hAnsi="Times New Roman" w:eastAsia="宋体" w:cs="Times New Roman"/>
          <w:sz w:val="24"/>
          <w:szCs w:val="24"/>
        </w:rPr>
        <w:t>Po</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、钍</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Th</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浓度都非常低，部分水样镭-226（</w:t>
      </w: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eastAsia" w:ascii="Times New Roman" w:hAnsi="Times New Roman" w:eastAsia="宋体" w:cs="Times New Roman"/>
          <w:sz w:val="24"/>
          <w:szCs w:val="24"/>
          <w:lang w:val="en-US" w:eastAsia="zh-CN"/>
        </w:rPr>
        <w:t>）浓度高于</w:t>
      </w:r>
      <w:r>
        <w:rPr>
          <w:rFonts w:hint="default" w:ascii="Times New Roman" w:hAnsi="Times New Roman" w:eastAsia="宋体" w:cs="Times New Roman"/>
          <w:sz w:val="24"/>
          <w:szCs w:val="24"/>
          <w:lang w:val="en-US" w:eastAsia="zh-CN"/>
        </w:rPr>
        <w:t>《生活饮用水卫生标准》（</w:t>
      </w:r>
      <w:r>
        <w:rPr>
          <w:rFonts w:hint="default" w:ascii="Times New Roman" w:hAnsi="Times New Roman" w:eastAsia="宋体" w:cs="Times New Roman"/>
          <w:sz w:val="24"/>
          <w:szCs w:val="24"/>
        </w:rPr>
        <w:t>GB</w:t>
      </w:r>
      <w:r>
        <w:rPr>
          <w:rFonts w:hint="default" w:ascii="Times New Roman" w:hAnsi="Times New Roman" w:eastAsia="宋体" w:cs="Times New Roman"/>
          <w:sz w:val="24"/>
          <w:szCs w:val="24"/>
          <w:lang w:val="en-US" w:eastAsia="zh-CN"/>
        </w:rPr>
        <w:t>5749-2022）</w:t>
      </w:r>
      <w:r>
        <w:rPr>
          <w:rFonts w:hint="eastAsia" w:ascii="Times New Roman" w:hAnsi="Times New Roman" w:eastAsia="宋体" w:cs="Times New Roman"/>
          <w:sz w:val="24"/>
          <w:szCs w:val="24"/>
          <w:lang w:val="en-US" w:eastAsia="zh-CN"/>
        </w:rPr>
        <w:t>中质量</w:t>
      </w:r>
      <w:r>
        <w:rPr>
          <w:rFonts w:hint="default" w:ascii="Times New Roman" w:hAnsi="Times New Roman" w:eastAsia="宋体" w:cs="Times New Roman"/>
          <w:sz w:val="24"/>
          <w:szCs w:val="24"/>
          <w:lang w:val="en-US" w:eastAsia="zh-CN"/>
        </w:rPr>
        <w:t>限值</w:t>
      </w:r>
      <w:r>
        <w:rPr>
          <w:rFonts w:hint="eastAsia" w:ascii="Times New Roman" w:hAnsi="Times New Roman" w:eastAsia="宋体" w:cs="Times New Roman"/>
          <w:sz w:val="24"/>
          <w:szCs w:val="24"/>
          <w:lang w:val="en-US" w:eastAsia="zh-CN"/>
        </w:rPr>
        <w:t>。基于此，</w:t>
      </w:r>
      <w:r>
        <w:rPr>
          <w:rFonts w:hint="default" w:ascii="Times New Roman" w:hAnsi="Times New Roman" w:eastAsia="宋体" w:cs="Times New Roman"/>
          <w:sz w:val="24"/>
          <w:szCs w:val="24"/>
          <w:lang w:val="en-US" w:eastAsia="zh-CN"/>
        </w:rPr>
        <w:t>初步筛选出</w:t>
      </w:r>
      <w:r>
        <w:rPr>
          <w:rFonts w:hint="eastAsia" w:ascii="Times New Roman" w:hAnsi="Times New Roman" w:eastAsia="宋体" w:cs="Times New Roman"/>
          <w:sz w:val="24"/>
          <w:szCs w:val="24"/>
          <w:lang w:val="en-US" w:eastAsia="zh-CN"/>
        </w:rPr>
        <w:t>镭-226</w:t>
      </w:r>
      <w:r>
        <w:rPr>
          <w:rFonts w:hint="default" w:ascii="Times New Roman" w:hAnsi="Times New Roman" w:eastAsia="宋体" w:cs="Times New Roman"/>
          <w:sz w:val="24"/>
          <w:szCs w:val="24"/>
          <w:lang w:val="en-US" w:eastAsia="zh-CN"/>
        </w:rPr>
        <w:t>作为重点核素考虑。</w:t>
      </w:r>
      <w:r>
        <w:rPr>
          <w:rFonts w:hint="eastAsia" w:ascii="Times New Roman" w:hAnsi="Times New Roman" w:eastAsia="宋体" w:cs="Times New Roman"/>
          <w:sz w:val="24"/>
          <w:szCs w:val="24"/>
          <w:lang w:val="en-US" w:eastAsia="zh-CN"/>
        </w:rPr>
        <w:t>通辽铀业钱Ⅱ块C3采区现场源项调查数据汇总情况见表2，天山铀业737厂15#采区现场源项调查数据汇总情况见表3。</w:t>
      </w:r>
    </w:p>
    <w:p>
      <w:pPr>
        <w:pStyle w:val="2"/>
        <w:rPr>
          <w:rFonts w:hint="eastAsia"/>
          <w:lang w:val="en-US" w:eastAsia="zh-CN"/>
        </w:rPr>
      </w:pPr>
    </w:p>
    <w:p>
      <w:pPr>
        <w:pageBreakBefore w:val="0"/>
        <w:kinsoku/>
        <w:wordWrap/>
        <w:overflowPunct/>
        <w:topLinePunct w:val="0"/>
        <w:bidi w:val="0"/>
        <w:spacing w:line="520" w:lineRule="exact"/>
        <w:jc w:val="center"/>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表2  </w:t>
      </w:r>
      <w:bookmarkStart w:id="10" w:name="OLE_LINK7"/>
      <w:r>
        <w:rPr>
          <w:rFonts w:hint="eastAsia" w:ascii="Times New Roman" w:hAnsi="Times New Roman" w:eastAsia="宋体" w:cs="Times New Roman"/>
          <w:sz w:val="24"/>
          <w:szCs w:val="24"/>
          <w:highlight w:val="none"/>
          <w:lang w:val="en-US" w:eastAsia="zh-CN"/>
        </w:rPr>
        <w:t>钱Ⅱ块C3采区现场源项调查放射性指标</w:t>
      </w:r>
      <w:bookmarkEnd w:id="10"/>
      <w:r>
        <w:rPr>
          <w:rFonts w:hint="eastAsia" w:ascii="Times New Roman" w:hAnsi="Times New Roman" w:eastAsia="宋体" w:cs="Times New Roman"/>
          <w:sz w:val="24"/>
          <w:szCs w:val="24"/>
          <w:highlight w:val="none"/>
          <w:lang w:val="en-US" w:eastAsia="zh-CN"/>
        </w:rPr>
        <w:t>汇总表</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858"/>
        <w:gridCol w:w="868"/>
        <w:gridCol w:w="998"/>
        <w:gridCol w:w="1531"/>
        <w:gridCol w:w="1098"/>
        <w:gridCol w:w="1098"/>
        <w:gridCol w:w="1069"/>
        <w:gridCol w:w="1098"/>
        <w:gridCol w:w="1098"/>
        <w:gridCol w:w="1098"/>
        <w:gridCol w:w="2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blHeader/>
          <w:jc w:val="center"/>
        </w:trPr>
        <w:tc>
          <w:tcPr>
            <w:tcW w:w="228"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序号</w:t>
            </w:r>
          </w:p>
        </w:tc>
        <w:tc>
          <w:tcPr>
            <w:tcW w:w="303"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指标</w:t>
            </w:r>
          </w:p>
        </w:tc>
        <w:tc>
          <w:tcPr>
            <w:tcW w:w="306"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监测</w:t>
            </w:r>
          </w:p>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数量</w:t>
            </w:r>
          </w:p>
        </w:tc>
        <w:tc>
          <w:tcPr>
            <w:tcW w:w="352"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lang w:val="en-US" w:eastAsia="zh-CN"/>
              </w:rPr>
            </w:pPr>
            <w:r>
              <w:rPr>
                <w:rFonts w:hint="default" w:ascii="Times New Roman" w:hAnsi="Times New Roman" w:eastAsia="宋体" w:cs="Times New Roman"/>
                <w:b w:val="0"/>
                <w:bCs w:val="0"/>
                <w:i w:val="0"/>
                <w:iCs w:val="0"/>
                <w:color w:val="auto"/>
                <w:szCs w:val="21"/>
                <w:lang w:val="en-US" w:eastAsia="zh-CN"/>
              </w:rPr>
              <w:t>单位</w:t>
            </w:r>
          </w:p>
        </w:tc>
        <w:tc>
          <w:tcPr>
            <w:tcW w:w="540"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范围值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平均值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lang w:val="en-US" w:eastAsia="zh-CN"/>
              </w:rPr>
            </w:pPr>
            <w:r>
              <w:rPr>
                <w:rFonts w:hint="default" w:ascii="Times New Roman" w:hAnsi="Times New Roman" w:eastAsia="宋体" w:cs="Times New Roman"/>
                <w:b w:val="0"/>
                <w:bCs w:val="0"/>
                <w:i w:val="0"/>
                <w:iCs w:val="0"/>
                <w:color w:val="auto"/>
                <w:szCs w:val="21"/>
                <w:lang w:val="en-US" w:eastAsia="zh-CN"/>
              </w:rPr>
              <w:t>25</w:t>
            </w:r>
          </w:p>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分位值</w:t>
            </w:r>
          </w:p>
        </w:tc>
        <w:tc>
          <w:tcPr>
            <w:tcW w:w="37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lang w:val="en-US" w:eastAsia="zh-CN"/>
              </w:rPr>
            </w:pPr>
            <w:r>
              <w:rPr>
                <w:rFonts w:hint="default" w:ascii="Times New Roman" w:hAnsi="Times New Roman" w:eastAsia="宋体" w:cs="Times New Roman"/>
                <w:b w:val="0"/>
                <w:bCs w:val="0"/>
                <w:i w:val="0"/>
                <w:iCs w:val="0"/>
                <w:color w:val="auto"/>
                <w:szCs w:val="21"/>
                <w:lang w:val="en-US" w:eastAsia="zh-CN"/>
              </w:rPr>
              <w:t>50</w:t>
            </w:r>
          </w:p>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lang w:val="en-US" w:eastAsia="zh-CN"/>
              </w:rPr>
              <w:t>分</w:t>
            </w:r>
            <w:r>
              <w:rPr>
                <w:rFonts w:hint="default" w:ascii="Times New Roman" w:hAnsi="Times New Roman" w:eastAsia="宋体" w:cs="Times New Roman"/>
                <w:b w:val="0"/>
                <w:bCs w:val="0"/>
                <w:i w:val="0"/>
                <w:iCs w:val="0"/>
                <w:color w:val="auto"/>
                <w:szCs w:val="21"/>
              </w:rPr>
              <w:t>位值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lang w:val="en-US" w:eastAsia="zh-CN"/>
              </w:rPr>
            </w:pPr>
            <w:r>
              <w:rPr>
                <w:rFonts w:hint="default" w:ascii="Times New Roman" w:hAnsi="Times New Roman" w:eastAsia="宋体" w:cs="Times New Roman"/>
                <w:b w:val="0"/>
                <w:bCs w:val="0"/>
                <w:i w:val="0"/>
                <w:iCs w:val="0"/>
                <w:color w:val="auto"/>
                <w:szCs w:val="21"/>
                <w:lang w:val="en-US" w:eastAsia="zh-CN"/>
              </w:rPr>
              <w:t>75</w:t>
            </w:r>
          </w:p>
          <w:p>
            <w:pPr>
              <w:pStyle w:val="2"/>
              <w:widowControl w:val="0"/>
              <w:ind w:firstLine="0" w:firstLine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i w:val="0"/>
                <w:iCs w:val="0"/>
                <w:color w:val="auto"/>
                <w:szCs w:val="21"/>
              </w:rPr>
              <w:t>分位值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lang w:val="en-US" w:eastAsia="zh-CN"/>
              </w:rPr>
              <w:t>计算</w:t>
            </w:r>
            <w:r>
              <w:rPr>
                <w:rFonts w:hint="default" w:ascii="Times New Roman" w:hAnsi="Times New Roman" w:eastAsia="宋体" w:cs="Times New Roman"/>
                <w:b w:val="0"/>
                <w:bCs w:val="0"/>
                <w:i w:val="0"/>
                <w:iCs w:val="0"/>
                <w:color w:val="auto"/>
                <w:szCs w:val="21"/>
              </w:rPr>
              <w:t>修复目标值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本底值</w:t>
            </w:r>
          </w:p>
        </w:tc>
        <w:tc>
          <w:tcPr>
            <w:tcW w:w="953"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1</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铀</w:t>
            </w:r>
          </w:p>
        </w:tc>
        <w:tc>
          <w:tcPr>
            <w:tcW w:w="86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lang w:val="en-US" w:eastAsia="zh-CN"/>
              </w:rPr>
              <w:t>47</w:t>
            </w:r>
            <w:r>
              <w:rPr>
                <w:rFonts w:hint="default" w:ascii="Times New Roman" w:hAnsi="Times New Roman" w:eastAsia="宋体" w:cs="Times New Roman"/>
                <w:b w:val="0"/>
                <w:bCs w:val="0"/>
                <w:szCs w:val="21"/>
              </w:rPr>
              <w:t>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r>
              <w:rPr>
                <w:rFonts w:hint="default" w:ascii="Times New Roman" w:hAnsi="Times New Roman" w:eastAsia="宋体" w:cs="Times New Roman"/>
                <w:b w:val="0"/>
                <w:bCs w:val="0"/>
                <w:i w:val="0"/>
                <w:iCs w:val="0"/>
                <w:color w:val="auto"/>
                <w:sz w:val="21"/>
                <w:szCs w:val="21"/>
              </w:rPr>
              <w:t>mg/L</w:t>
            </w:r>
          </w:p>
        </w:tc>
        <w:tc>
          <w:tcPr>
            <w:tcW w:w="1531"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highlight w:val="none"/>
              </w:rPr>
              <w:t>0.0446</w:t>
            </w:r>
            <w:r>
              <w:rPr>
                <w:rFonts w:hint="default" w:ascii="Times New Roman" w:hAnsi="Times New Roman" w:eastAsia="宋体" w:cs="Times New Roman"/>
                <w:b w:val="0"/>
                <w:bCs w:val="0"/>
                <w:szCs w:val="21"/>
              </w:rPr>
              <w:t>-5.12</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1.65</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0.19</w:t>
            </w:r>
          </w:p>
        </w:tc>
        <w:tc>
          <w:tcPr>
            <w:tcW w:w="1069"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1.59</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szCs w:val="21"/>
              </w:rPr>
              <w:t>2.49</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eastAsia="zh-CN"/>
              </w:rPr>
            </w:pPr>
            <w:r>
              <w:rPr>
                <w:rFonts w:hint="default" w:ascii="Times New Roman" w:hAnsi="Times New Roman" w:eastAsia="宋体" w:cs="Times New Roman"/>
                <w:b w:val="0"/>
                <w:bCs w:val="0"/>
                <w:i w:val="0"/>
                <w:iCs w:val="0"/>
                <w:color w:val="auto"/>
                <w:sz w:val="21"/>
                <w:szCs w:val="21"/>
                <w:lang w:val="en-US" w:eastAsia="zh-CN"/>
              </w:rPr>
              <w:t>3</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r>
              <w:rPr>
                <w:rFonts w:hint="default" w:ascii="Times New Roman" w:hAnsi="Times New Roman" w:eastAsia="宋体" w:cs="Times New Roman"/>
                <w:b w:val="0"/>
                <w:bCs w:val="0"/>
                <w:i w:val="0"/>
                <w:iCs w:val="0"/>
                <w:color w:val="auto"/>
                <w:sz w:val="21"/>
                <w:szCs w:val="21"/>
                <w:lang w:val="en-US" w:eastAsia="zh-CN"/>
              </w:rPr>
              <w:t>0.54</w:t>
            </w:r>
          </w:p>
        </w:tc>
        <w:tc>
          <w:tcPr>
            <w:tcW w:w="2703" w:type="dxa"/>
            <w:vAlign w:val="center"/>
          </w:tcPr>
          <w:p>
            <w:pPr>
              <w:pStyle w:val="2"/>
              <w:widowControl w:val="0"/>
              <w:ind w:left="0" w:leftChars="0"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 w:val="21"/>
                <w:szCs w:val="21"/>
                <w:highlight w:val="none"/>
                <w:vertAlign w:val="baseline"/>
                <w:lang w:val="en-US" w:eastAsia="zh-CN"/>
              </w:rPr>
              <w:t>21个</w:t>
            </w:r>
            <w:r>
              <w:rPr>
                <w:rFonts w:hint="default" w:ascii="Times New Roman" w:hAnsi="Times New Roman" w:eastAsia="宋体" w:cs="Times New Roman"/>
                <w:b w:val="0"/>
                <w:bCs w:val="0"/>
                <w:sz w:val="21"/>
                <w:szCs w:val="21"/>
                <w:vertAlign w:val="baseline"/>
                <w:lang w:val="en-US" w:eastAsia="zh-CN"/>
              </w:rPr>
              <w:t>＞</w:t>
            </w:r>
            <w:r>
              <w:rPr>
                <w:rFonts w:hint="default" w:ascii="Times New Roman" w:hAnsi="Times New Roman" w:eastAsia="宋体" w:cs="Times New Roman"/>
                <w:b w:val="0"/>
                <w:bCs w:val="0"/>
                <w:sz w:val="21"/>
                <w:szCs w:val="21"/>
                <w:highlight w:val="none"/>
                <w:vertAlign w:val="baseline"/>
                <w:lang w:val="en-US" w:eastAsia="zh-CN"/>
              </w:rPr>
              <w:t>2mg/L，其中8个</w:t>
            </w:r>
            <w:r>
              <w:rPr>
                <w:rFonts w:hint="default" w:ascii="Times New Roman" w:hAnsi="Times New Roman" w:eastAsia="宋体" w:cs="Times New Roman"/>
                <w:b w:val="0"/>
                <w:bCs w:val="0"/>
                <w:sz w:val="21"/>
                <w:szCs w:val="21"/>
                <w:vertAlign w:val="baseline"/>
                <w:lang w:val="en-US" w:eastAsia="zh-CN"/>
              </w:rPr>
              <w:t>＞</w:t>
            </w:r>
            <w:r>
              <w:rPr>
                <w:rFonts w:hint="default" w:ascii="Times New Roman" w:hAnsi="Times New Roman" w:eastAsia="宋体" w:cs="Times New Roman"/>
                <w:b w:val="0"/>
                <w:bCs w:val="0"/>
                <w:sz w:val="21"/>
                <w:szCs w:val="21"/>
                <w:highlight w:val="none"/>
                <w:vertAlign w:val="baseline"/>
                <w:lang w:val="en-US" w:eastAsia="zh-CN"/>
              </w:rPr>
              <w:t>3mg/L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2</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镭-226</w:t>
            </w:r>
          </w:p>
        </w:tc>
        <w:tc>
          <w:tcPr>
            <w:tcW w:w="86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lang w:val="en-US" w:eastAsia="zh-CN"/>
              </w:rPr>
              <w:t>47</w:t>
            </w:r>
            <w:r>
              <w:rPr>
                <w:rFonts w:hint="default" w:ascii="Times New Roman" w:hAnsi="Times New Roman" w:eastAsia="宋体" w:cs="Times New Roman"/>
                <w:b w:val="0"/>
                <w:bCs w:val="0"/>
                <w:szCs w:val="21"/>
              </w:rPr>
              <w:t>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r>
              <w:rPr>
                <w:rFonts w:hint="default" w:ascii="Times New Roman" w:hAnsi="Times New Roman" w:eastAsia="宋体" w:cs="Times New Roman"/>
                <w:b w:val="0"/>
                <w:bCs w:val="0"/>
                <w:i w:val="0"/>
                <w:iCs w:val="0"/>
                <w:color w:val="auto"/>
                <w:sz w:val="21"/>
                <w:szCs w:val="21"/>
              </w:rPr>
              <w:t>Bq/L</w:t>
            </w:r>
          </w:p>
        </w:tc>
        <w:tc>
          <w:tcPr>
            <w:tcW w:w="1531"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0.2</w:t>
            </w:r>
            <w:r>
              <w:rPr>
                <w:rFonts w:hint="default" w:ascii="Times New Roman" w:hAnsi="Times New Roman" w:eastAsia="宋体" w:cs="Times New Roman"/>
                <w:b w:val="0"/>
                <w:bCs w:val="0"/>
                <w:szCs w:val="21"/>
                <w:lang w:val="en-US" w:eastAsia="zh-CN"/>
              </w:rPr>
              <w:t>24</w:t>
            </w:r>
            <w:r>
              <w:rPr>
                <w:rFonts w:hint="default" w:ascii="Times New Roman" w:hAnsi="Times New Roman" w:eastAsia="宋体" w:cs="Times New Roman"/>
                <w:b w:val="0"/>
                <w:bCs w:val="0"/>
                <w:szCs w:val="21"/>
              </w:rPr>
              <w:t>-6.19</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1.08</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0.41</w:t>
            </w:r>
          </w:p>
        </w:tc>
        <w:tc>
          <w:tcPr>
            <w:tcW w:w="1069"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0.74</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szCs w:val="21"/>
              </w:rPr>
              <w:t>1.16</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r>
              <w:rPr>
                <w:rFonts w:hint="default" w:ascii="Times New Roman" w:hAnsi="Times New Roman" w:eastAsia="宋体" w:cs="Times New Roman"/>
                <w:b w:val="0"/>
                <w:bCs w:val="0"/>
                <w:i w:val="0"/>
                <w:iCs w:val="0"/>
                <w:color w:val="auto"/>
                <w:sz w:val="21"/>
                <w:szCs w:val="21"/>
                <w:lang w:val="en-US" w:eastAsia="zh-CN"/>
              </w:rPr>
              <w:t>1.3</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r>
              <w:rPr>
                <w:rFonts w:hint="default" w:ascii="Times New Roman" w:hAnsi="Times New Roman" w:eastAsia="宋体" w:cs="Times New Roman"/>
                <w:b w:val="0"/>
                <w:bCs w:val="0"/>
                <w:i w:val="0"/>
                <w:iCs w:val="0"/>
                <w:color w:val="auto"/>
                <w:sz w:val="21"/>
                <w:szCs w:val="21"/>
              </w:rPr>
              <w:t>1.3</w:t>
            </w:r>
            <w:r>
              <w:rPr>
                <w:rFonts w:hint="default" w:ascii="Times New Roman" w:hAnsi="Times New Roman" w:eastAsia="宋体" w:cs="Times New Roman"/>
                <w:b w:val="0"/>
                <w:bCs w:val="0"/>
                <w:i w:val="0"/>
                <w:iCs w:val="0"/>
                <w:color w:val="auto"/>
                <w:sz w:val="21"/>
                <w:szCs w:val="21"/>
                <w:lang w:val="en-US" w:eastAsia="zh-CN"/>
              </w:rPr>
              <w:t>6</w:t>
            </w:r>
          </w:p>
        </w:tc>
        <w:tc>
          <w:tcPr>
            <w:tcW w:w="2703" w:type="dxa"/>
            <w:vAlign w:val="center"/>
          </w:tcPr>
          <w:p>
            <w:pPr>
              <w:pStyle w:val="2"/>
              <w:widowControl w:val="0"/>
              <w:ind w:left="0" w:leftChars="0" w:firstLine="0" w:firstLineChars="0"/>
              <w:jc w:val="center"/>
              <w:rPr>
                <w:rFonts w:hint="default" w:ascii="Times New Roman" w:hAnsi="Times New Roman" w:eastAsia="宋体" w:cs="Times New Roman"/>
                <w:b w:val="0"/>
                <w:bCs w:val="0"/>
                <w:i w:val="0"/>
                <w:iCs w:val="0"/>
                <w:color w:val="auto"/>
                <w:sz w:val="21"/>
                <w:szCs w:val="21"/>
                <w:lang w:val="en-US" w:eastAsia="zh-CN"/>
              </w:rPr>
            </w:pPr>
            <w:r>
              <w:rPr>
                <w:rFonts w:hint="default" w:ascii="Times New Roman" w:hAnsi="Times New Roman" w:eastAsia="宋体" w:cs="Times New Roman"/>
                <w:b w:val="0"/>
                <w:bCs w:val="0"/>
                <w:sz w:val="21"/>
                <w:szCs w:val="21"/>
                <w:highlight w:val="none"/>
                <w:vertAlign w:val="baseline"/>
                <w:lang w:val="en-US" w:eastAsia="zh-CN"/>
              </w:rPr>
              <w:t>15个</w:t>
            </w:r>
            <w:r>
              <w:rPr>
                <w:rFonts w:hint="default" w:ascii="Times New Roman" w:hAnsi="Times New Roman" w:eastAsia="宋体" w:cs="Times New Roman"/>
                <w:b w:val="0"/>
                <w:bCs w:val="0"/>
                <w:sz w:val="21"/>
                <w:szCs w:val="21"/>
                <w:vertAlign w:val="baseline"/>
                <w:lang w:val="en-US" w:eastAsia="zh-CN"/>
              </w:rPr>
              <w:t>＞</w:t>
            </w:r>
            <w:r>
              <w:rPr>
                <w:rFonts w:hint="default" w:ascii="Times New Roman" w:hAnsi="Times New Roman" w:eastAsia="宋体" w:cs="Times New Roman"/>
                <w:b w:val="0"/>
                <w:bCs w:val="0"/>
                <w:sz w:val="21"/>
                <w:szCs w:val="21"/>
                <w:highlight w:val="none"/>
                <w:vertAlign w:val="baseline"/>
                <w:lang w:val="en-US" w:eastAsia="zh-CN"/>
              </w:rPr>
              <w:t>1Bq/L，其中6个</w:t>
            </w:r>
            <w:r>
              <w:rPr>
                <w:rFonts w:hint="default" w:ascii="Times New Roman" w:hAnsi="Times New Roman" w:eastAsia="宋体" w:cs="Times New Roman"/>
                <w:b w:val="0"/>
                <w:bCs w:val="0"/>
                <w:sz w:val="21"/>
                <w:szCs w:val="21"/>
                <w:vertAlign w:val="baseline"/>
                <w:lang w:val="en-US" w:eastAsia="zh-CN"/>
              </w:rPr>
              <w:t>＞</w:t>
            </w:r>
            <w:r>
              <w:rPr>
                <w:rFonts w:hint="default" w:ascii="Times New Roman" w:hAnsi="Times New Roman" w:eastAsia="宋体" w:cs="Times New Roman"/>
                <w:b w:val="0"/>
                <w:bCs w:val="0"/>
                <w:sz w:val="21"/>
                <w:szCs w:val="21"/>
                <w:highlight w:val="none"/>
                <w:vertAlign w:val="baseline"/>
                <w:lang w:val="en-US" w:eastAsia="zh-CN"/>
              </w:rPr>
              <w:t>2Bq/L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3</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铅-210</w:t>
            </w:r>
          </w:p>
        </w:tc>
        <w:tc>
          <w:tcPr>
            <w:tcW w:w="86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11个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mBq/L</w:t>
            </w:r>
          </w:p>
        </w:tc>
        <w:tc>
          <w:tcPr>
            <w:tcW w:w="1531"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16.7-425</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160.16</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64.60</w:t>
            </w:r>
          </w:p>
        </w:tc>
        <w:tc>
          <w:tcPr>
            <w:tcW w:w="1069"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106.00</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szCs w:val="21"/>
              </w:rPr>
              <w:t>221.50</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p>
        </w:tc>
        <w:tc>
          <w:tcPr>
            <w:tcW w:w="95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4</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钋-210</w:t>
            </w:r>
          </w:p>
        </w:tc>
        <w:tc>
          <w:tcPr>
            <w:tcW w:w="86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11个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mBq/L</w:t>
            </w:r>
          </w:p>
        </w:tc>
        <w:tc>
          <w:tcPr>
            <w:tcW w:w="1531"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13.6-360</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109.47</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33.50</w:t>
            </w:r>
          </w:p>
        </w:tc>
        <w:tc>
          <w:tcPr>
            <w:tcW w:w="1069"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szCs w:val="21"/>
              </w:rPr>
              <w:t>49.30</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szCs w:val="21"/>
              </w:rPr>
              <w:t>164.10</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p>
        </w:tc>
        <w:tc>
          <w:tcPr>
            <w:tcW w:w="95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highlight w:val="none"/>
              </w:rPr>
            </w:pPr>
            <w:r>
              <w:rPr>
                <w:rFonts w:hint="default" w:ascii="Times New Roman" w:hAnsi="Times New Roman" w:eastAsia="宋体" w:cs="Times New Roman"/>
                <w:b w:val="0"/>
                <w:bCs w:val="0"/>
                <w:i w:val="0"/>
                <w:iCs w:val="0"/>
                <w:color w:val="auto"/>
                <w:szCs w:val="21"/>
                <w:highlight w:val="none"/>
              </w:rPr>
              <w:t>5</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rPr>
            </w:pPr>
            <w:r>
              <w:rPr>
                <w:rFonts w:hint="default" w:ascii="Times New Roman" w:hAnsi="Times New Roman" w:eastAsia="宋体" w:cs="Times New Roman"/>
                <w:b w:val="0"/>
                <w:bCs w:val="0"/>
                <w:i w:val="0"/>
                <w:iCs w:val="0"/>
                <w:color w:val="auto"/>
                <w:sz w:val="21"/>
                <w:szCs w:val="21"/>
              </w:rPr>
              <w:t>钍</w:t>
            </w:r>
          </w:p>
        </w:tc>
        <w:tc>
          <w:tcPr>
            <w:tcW w:w="86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highlight w:val="none"/>
              </w:rPr>
            </w:pPr>
            <w:r>
              <w:rPr>
                <w:rFonts w:hint="default" w:ascii="Times New Roman" w:hAnsi="Times New Roman" w:eastAsia="宋体" w:cs="Times New Roman"/>
                <w:b w:val="0"/>
                <w:bCs w:val="0"/>
                <w:szCs w:val="21"/>
                <w:highlight w:val="none"/>
              </w:rPr>
              <w:t>11个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rPr>
            </w:pPr>
            <w:r>
              <w:rPr>
                <w:rFonts w:hint="default" w:ascii="Times New Roman" w:hAnsi="Times New Roman" w:eastAsia="宋体" w:cs="Times New Roman"/>
                <w:b w:val="0"/>
                <w:bCs w:val="0"/>
                <w:i w:val="0"/>
                <w:iCs w:val="0"/>
                <w:color w:val="auto"/>
                <w:sz w:val="21"/>
                <w:szCs w:val="21"/>
              </w:rPr>
              <w:t>Bq/L</w:t>
            </w:r>
          </w:p>
        </w:tc>
        <w:tc>
          <w:tcPr>
            <w:tcW w:w="1531"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highlight w:val="none"/>
                <w:lang w:val="en-US" w:eastAsia="zh-CN"/>
              </w:rPr>
            </w:pPr>
            <w:r>
              <w:rPr>
                <w:rFonts w:hint="default" w:ascii="Times New Roman" w:hAnsi="Times New Roman" w:eastAsia="宋体" w:cs="Times New Roman"/>
                <w:b w:val="0"/>
                <w:bCs w:val="0"/>
                <w:szCs w:val="21"/>
                <w:highlight w:val="none"/>
              </w:rPr>
              <w:t>0.</w:t>
            </w:r>
            <w:r>
              <w:rPr>
                <w:rFonts w:hint="default" w:ascii="Times New Roman" w:hAnsi="Times New Roman" w:eastAsia="宋体" w:cs="Times New Roman"/>
                <w:b w:val="0"/>
                <w:bCs w:val="0"/>
                <w:szCs w:val="21"/>
                <w:highlight w:val="none"/>
                <w:lang w:val="en-US" w:eastAsia="zh-CN"/>
              </w:rPr>
              <w:t>004</w:t>
            </w:r>
            <w:r>
              <w:rPr>
                <w:rFonts w:hint="default" w:ascii="Times New Roman" w:hAnsi="Times New Roman" w:eastAsia="宋体" w:cs="Times New Roman"/>
                <w:b w:val="0"/>
                <w:bCs w:val="0"/>
                <w:szCs w:val="21"/>
                <w:highlight w:val="none"/>
              </w:rPr>
              <w:t>-</w:t>
            </w:r>
            <w:r>
              <w:rPr>
                <w:rFonts w:hint="default" w:ascii="Times New Roman" w:hAnsi="Times New Roman" w:eastAsia="宋体" w:cs="Times New Roman"/>
                <w:b w:val="0"/>
                <w:bCs w:val="0"/>
                <w:szCs w:val="21"/>
                <w:highlight w:val="none"/>
                <w:lang w:val="en-US" w:eastAsia="zh-CN"/>
              </w:rPr>
              <w:t>0.047</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highlight w:val="none"/>
                <w:lang w:val="en-US" w:eastAsia="zh-CN"/>
              </w:rPr>
            </w:pPr>
            <w:r>
              <w:rPr>
                <w:rFonts w:hint="default" w:ascii="Times New Roman" w:hAnsi="Times New Roman" w:eastAsia="宋体" w:cs="Times New Roman"/>
                <w:b w:val="0"/>
                <w:bCs w:val="0"/>
                <w:szCs w:val="21"/>
                <w:highlight w:val="none"/>
              </w:rPr>
              <w:t>/</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highlight w:val="none"/>
                <w:lang w:val="en-US"/>
              </w:rPr>
            </w:pPr>
            <w:r>
              <w:rPr>
                <w:rFonts w:hint="default" w:ascii="Times New Roman" w:hAnsi="Times New Roman" w:eastAsia="宋体" w:cs="Times New Roman"/>
                <w:b w:val="0"/>
                <w:bCs w:val="0"/>
                <w:szCs w:val="21"/>
                <w:highlight w:val="none"/>
              </w:rPr>
              <w:t>/</w:t>
            </w:r>
          </w:p>
        </w:tc>
        <w:tc>
          <w:tcPr>
            <w:tcW w:w="1069"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highlight w:val="none"/>
                <w:lang w:val="en-US" w:eastAsia="zh-CN"/>
              </w:rPr>
            </w:pPr>
            <w:r>
              <w:rPr>
                <w:rFonts w:hint="default" w:ascii="Times New Roman" w:hAnsi="Times New Roman" w:eastAsia="宋体" w:cs="Times New Roman"/>
                <w:b w:val="0"/>
                <w:bCs w:val="0"/>
                <w:szCs w:val="21"/>
                <w:highlight w:val="none"/>
              </w:rPr>
              <w:t>/</w:t>
            </w:r>
          </w:p>
        </w:tc>
        <w:tc>
          <w:tcPr>
            <w:tcW w:w="1098" w:type="dxa"/>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 w:val="21"/>
                <w:szCs w:val="21"/>
                <w:highlight w:val="none"/>
                <w:lang w:val="en-US" w:eastAsia="zh-CN" w:bidi="ar-SA"/>
              </w:rPr>
            </w:pPr>
            <w:r>
              <w:rPr>
                <w:rFonts w:hint="default" w:ascii="Times New Roman" w:hAnsi="Times New Roman" w:eastAsia="宋体" w:cs="Times New Roman"/>
                <w:b w:val="0"/>
                <w:bCs w:val="0"/>
                <w:szCs w:val="21"/>
                <w:highlight w:val="none"/>
              </w:rPr>
              <w:t>/</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p>
        </w:tc>
        <w:tc>
          <w:tcPr>
            <w:tcW w:w="95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r>
              <w:rPr>
                <w:rFonts w:hint="default" w:ascii="Times New Roman" w:hAnsi="Times New Roman" w:eastAsia="宋体" w:cs="Times New Roman"/>
                <w:b w:val="0"/>
                <w:bCs w:val="0"/>
                <w:i w:val="0"/>
                <w:iCs w:val="0"/>
                <w:color w:val="auto"/>
                <w:sz w:val="21"/>
                <w:szCs w:val="21"/>
              </w:rPr>
              <w:t>供参考</w:t>
            </w:r>
          </w:p>
        </w:tc>
      </w:tr>
    </w:tbl>
    <w:p>
      <w:pPr>
        <w:pStyle w:val="2"/>
        <w:ind w:left="0" w:leftChars="0" w:firstLine="0" w:firstLineChars="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注：本底值通过</w:t>
      </w:r>
      <w:r>
        <w:rPr>
          <w:rFonts w:hint="eastAsia" w:ascii="宋体" w:hAnsi="宋体" w:eastAsia="宋体" w:cs="宋体"/>
          <w:b w:val="0"/>
          <w:bCs w:val="0"/>
          <w:szCs w:val="21"/>
          <w:lang w:val="zh-CN" w:eastAsia="zh-CN"/>
        </w:rPr>
        <w:t>历史资料调查分析</w:t>
      </w:r>
      <w:r>
        <w:rPr>
          <w:rFonts w:hint="eastAsia" w:ascii="宋体" w:hAnsi="宋体" w:eastAsia="宋体" w:cs="宋体"/>
          <w:b w:val="0"/>
          <w:bCs w:val="0"/>
          <w:szCs w:val="21"/>
          <w:lang w:val="en-US" w:eastAsia="zh-CN"/>
        </w:rPr>
        <w:t>得到。</w:t>
      </w:r>
    </w:p>
    <w:p>
      <w:pPr>
        <w:pageBreakBefore w:val="0"/>
        <w:kinsoku/>
        <w:wordWrap/>
        <w:overflowPunct/>
        <w:topLinePunct w:val="0"/>
        <w:bidi w:val="0"/>
        <w:spacing w:line="520" w:lineRule="exact"/>
        <w:jc w:val="center"/>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表3  </w:t>
      </w:r>
      <w:r>
        <w:rPr>
          <w:rFonts w:hint="eastAsia" w:ascii="Times New Roman" w:hAnsi="Times New Roman" w:eastAsia="宋体" w:cs="Times New Roman"/>
          <w:sz w:val="24"/>
          <w:szCs w:val="24"/>
          <w:lang w:val="en-US" w:eastAsia="zh-CN"/>
        </w:rPr>
        <w:t>737厂15#采区</w:t>
      </w:r>
      <w:r>
        <w:rPr>
          <w:rFonts w:hint="eastAsia" w:ascii="Times New Roman" w:hAnsi="Times New Roman" w:eastAsia="宋体" w:cs="Times New Roman"/>
          <w:sz w:val="24"/>
          <w:szCs w:val="24"/>
          <w:highlight w:val="none"/>
          <w:lang w:val="en-US" w:eastAsia="zh-CN"/>
        </w:rPr>
        <w:t>现场源项调查放射性指标汇总表</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858"/>
        <w:gridCol w:w="868"/>
        <w:gridCol w:w="998"/>
        <w:gridCol w:w="1531"/>
        <w:gridCol w:w="1098"/>
        <w:gridCol w:w="1098"/>
        <w:gridCol w:w="1069"/>
        <w:gridCol w:w="1098"/>
        <w:gridCol w:w="1098"/>
        <w:gridCol w:w="1098"/>
        <w:gridCol w:w="2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blHeader/>
          <w:jc w:val="center"/>
        </w:trPr>
        <w:tc>
          <w:tcPr>
            <w:tcW w:w="228"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序号</w:t>
            </w:r>
          </w:p>
        </w:tc>
        <w:tc>
          <w:tcPr>
            <w:tcW w:w="303"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指标</w:t>
            </w:r>
          </w:p>
        </w:tc>
        <w:tc>
          <w:tcPr>
            <w:tcW w:w="306"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监测</w:t>
            </w:r>
          </w:p>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数量</w:t>
            </w:r>
          </w:p>
        </w:tc>
        <w:tc>
          <w:tcPr>
            <w:tcW w:w="352"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lang w:val="en-US" w:eastAsia="zh-CN"/>
              </w:rPr>
            </w:pPr>
            <w:r>
              <w:rPr>
                <w:rFonts w:hint="default" w:ascii="Times New Roman" w:hAnsi="Times New Roman" w:eastAsia="宋体" w:cs="Times New Roman"/>
                <w:b w:val="0"/>
                <w:bCs w:val="0"/>
                <w:i w:val="0"/>
                <w:iCs w:val="0"/>
                <w:color w:val="auto"/>
                <w:szCs w:val="21"/>
                <w:lang w:val="en-US" w:eastAsia="zh-CN"/>
              </w:rPr>
              <w:t>单位</w:t>
            </w:r>
          </w:p>
        </w:tc>
        <w:tc>
          <w:tcPr>
            <w:tcW w:w="540"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范围值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平均值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lang w:val="en-US" w:eastAsia="zh-CN"/>
              </w:rPr>
            </w:pPr>
            <w:r>
              <w:rPr>
                <w:rFonts w:hint="default" w:ascii="Times New Roman" w:hAnsi="Times New Roman" w:eastAsia="宋体" w:cs="Times New Roman"/>
                <w:b w:val="0"/>
                <w:bCs w:val="0"/>
                <w:i w:val="0"/>
                <w:iCs w:val="0"/>
                <w:color w:val="auto"/>
                <w:szCs w:val="21"/>
                <w:lang w:val="en-US" w:eastAsia="zh-CN"/>
              </w:rPr>
              <w:t>25</w:t>
            </w:r>
          </w:p>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分位值</w:t>
            </w:r>
          </w:p>
        </w:tc>
        <w:tc>
          <w:tcPr>
            <w:tcW w:w="37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lang w:val="en-US" w:eastAsia="zh-CN"/>
              </w:rPr>
            </w:pPr>
            <w:r>
              <w:rPr>
                <w:rFonts w:hint="default" w:ascii="Times New Roman" w:hAnsi="Times New Roman" w:eastAsia="宋体" w:cs="Times New Roman"/>
                <w:b w:val="0"/>
                <w:bCs w:val="0"/>
                <w:i w:val="0"/>
                <w:iCs w:val="0"/>
                <w:color w:val="auto"/>
                <w:szCs w:val="21"/>
                <w:lang w:val="en-US" w:eastAsia="zh-CN"/>
              </w:rPr>
              <w:t>50</w:t>
            </w:r>
          </w:p>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lang w:val="en-US" w:eastAsia="zh-CN"/>
              </w:rPr>
              <w:t>分</w:t>
            </w:r>
            <w:r>
              <w:rPr>
                <w:rFonts w:hint="default" w:ascii="Times New Roman" w:hAnsi="Times New Roman" w:eastAsia="宋体" w:cs="Times New Roman"/>
                <w:b w:val="0"/>
                <w:bCs w:val="0"/>
                <w:i w:val="0"/>
                <w:iCs w:val="0"/>
                <w:color w:val="auto"/>
                <w:szCs w:val="21"/>
              </w:rPr>
              <w:t>位值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lang w:val="en-US" w:eastAsia="zh-CN"/>
              </w:rPr>
            </w:pPr>
            <w:r>
              <w:rPr>
                <w:rFonts w:hint="default" w:ascii="Times New Roman" w:hAnsi="Times New Roman" w:eastAsia="宋体" w:cs="Times New Roman"/>
                <w:b w:val="0"/>
                <w:bCs w:val="0"/>
                <w:i w:val="0"/>
                <w:iCs w:val="0"/>
                <w:color w:val="auto"/>
                <w:szCs w:val="21"/>
                <w:lang w:val="en-US" w:eastAsia="zh-CN"/>
              </w:rPr>
              <w:t>75</w:t>
            </w:r>
          </w:p>
          <w:p>
            <w:pPr>
              <w:pStyle w:val="2"/>
              <w:widowControl w:val="0"/>
              <w:ind w:firstLine="0" w:firstLine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i w:val="0"/>
                <w:iCs w:val="0"/>
                <w:color w:val="auto"/>
                <w:szCs w:val="21"/>
              </w:rPr>
              <w:t>分位值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lang w:val="en-US" w:eastAsia="zh-CN"/>
              </w:rPr>
              <w:t>计算</w:t>
            </w:r>
            <w:r>
              <w:rPr>
                <w:rFonts w:hint="default" w:ascii="Times New Roman" w:hAnsi="Times New Roman" w:eastAsia="宋体" w:cs="Times New Roman"/>
                <w:b w:val="0"/>
                <w:bCs w:val="0"/>
                <w:i w:val="0"/>
                <w:iCs w:val="0"/>
                <w:color w:val="auto"/>
                <w:szCs w:val="21"/>
              </w:rPr>
              <w:t>修复目标值</w:t>
            </w:r>
          </w:p>
        </w:tc>
        <w:tc>
          <w:tcPr>
            <w:tcW w:w="387"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本底值</w:t>
            </w:r>
          </w:p>
        </w:tc>
        <w:tc>
          <w:tcPr>
            <w:tcW w:w="953"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1</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铀</w:t>
            </w:r>
          </w:p>
        </w:tc>
        <w:tc>
          <w:tcPr>
            <w:tcW w:w="30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55个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r>
              <w:rPr>
                <w:rFonts w:hint="default" w:ascii="Times New Roman" w:hAnsi="Times New Roman" w:eastAsia="宋体" w:cs="Times New Roman"/>
                <w:b w:val="0"/>
                <w:bCs w:val="0"/>
                <w:i w:val="0"/>
                <w:iCs w:val="0"/>
                <w:color w:val="auto"/>
                <w:sz w:val="21"/>
                <w:szCs w:val="21"/>
              </w:rPr>
              <w:t>mg/L</w:t>
            </w:r>
          </w:p>
        </w:tc>
        <w:tc>
          <w:tcPr>
            <w:tcW w:w="1531" w:type="dxa"/>
            <w:vAlign w:val="center"/>
          </w:tcPr>
          <w:p>
            <w:pPr>
              <w:pStyle w:val="8"/>
              <w:widowControl/>
              <w:ind w:left="0" w:leftChars="0" w:right="0" w:rightChars="0"/>
              <w:jc w:val="center"/>
              <w:rPr>
                <w:rFonts w:hint="default" w:ascii="Times New Roman" w:hAnsi="Times New Roman" w:eastAsia="宋体" w:cs="Times New Roman"/>
                <w:b w:val="0"/>
                <w:bCs w:val="0"/>
                <w:i w:val="0"/>
                <w:iCs w:val="0"/>
                <w:color w:val="auto"/>
                <w:sz w:val="21"/>
                <w:szCs w:val="21"/>
              </w:rPr>
            </w:pPr>
            <w:r>
              <w:rPr>
                <w:rFonts w:ascii="Times New Roman" w:hAnsi="Times New Roman" w:eastAsia="宋体" w:cs="Times New Roman"/>
                <w:sz w:val="21"/>
                <w:szCs w:val="21"/>
              </w:rPr>
              <w:t>0.00</w:t>
            </w:r>
            <w:r>
              <w:rPr>
                <w:rFonts w:hint="eastAsia" w:ascii="Times New Roman" w:hAnsi="Times New Roman" w:eastAsia="宋体" w:cs="Times New Roman"/>
                <w:sz w:val="21"/>
                <w:szCs w:val="21"/>
              </w:rPr>
              <w:t>1</w:t>
            </w:r>
            <w:r>
              <w:rPr>
                <w:rFonts w:ascii="Times New Roman" w:hAnsi="Times New Roman" w:eastAsia="宋体" w:cs="Times New Roman"/>
                <w:sz w:val="21"/>
                <w:szCs w:val="21"/>
              </w:rPr>
              <w:t>-9.</w:t>
            </w:r>
            <w:r>
              <w:rPr>
                <w:rFonts w:hint="eastAsia" w:ascii="Times New Roman" w:hAnsi="Times New Roman" w:eastAsia="宋体" w:cs="Times New Roman"/>
                <w:sz w:val="21"/>
                <w:szCs w:val="21"/>
              </w:rPr>
              <w:t>452</w:t>
            </w:r>
          </w:p>
        </w:tc>
        <w:tc>
          <w:tcPr>
            <w:tcW w:w="1098" w:type="dxa"/>
            <w:vAlign w:val="center"/>
          </w:tcPr>
          <w:p>
            <w:pPr>
              <w:pStyle w:val="8"/>
              <w:widowControl/>
              <w:ind w:left="0" w:leftChars="0" w:right="0" w:rightChars="0"/>
              <w:jc w:val="center"/>
              <w:rPr>
                <w:rFonts w:hint="default" w:ascii="Times New Roman" w:hAnsi="Times New Roman" w:eastAsia="宋体" w:cs="Times New Roman"/>
                <w:b w:val="0"/>
                <w:bCs w:val="0"/>
                <w:i w:val="0"/>
                <w:iCs w:val="0"/>
                <w:color w:val="auto"/>
                <w:sz w:val="21"/>
                <w:szCs w:val="21"/>
              </w:rPr>
            </w:pPr>
            <w:r>
              <w:rPr>
                <w:rFonts w:ascii="Times New Roman" w:hAnsi="Times New Roman" w:eastAsia="宋体" w:cs="Times New Roman"/>
                <w:sz w:val="21"/>
                <w:szCs w:val="21"/>
              </w:rPr>
              <w:t>1.</w:t>
            </w:r>
            <w:r>
              <w:rPr>
                <w:rFonts w:hint="eastAsia" w:ascii="Times New Roman" w:hAnsi="Times New Roman" w:eastAsia="宋体" w:cs="Times New Roman"/>
                <w:sz w:val="21"/>
                <w:szCs w:val="21"/>
              </w:rPr>
              <w:t>37</w:t>
            </w:r>
          </w:p>
        </w:tc>
        <w:tc>
          <w:tcPr>
            <w:tcW w:w="1098" w:type="dxa"/>
            <w:vAlign w:val="center"/>
          </w:tcPr>
          <w:p>
            <w:pPr>
              <w:pStyle w:val="8"/>
              <w:widowControl/>
              <w:ind w:left="0" w:leftChars="0" w:right="0" w:rightChars="0"/>
              <w:jc w:val="center"/>
              <w:rPr>
                <w:rFonts w:hint="default" w:ascii="Times New Roman" w:hAnsi="Times New Roman" w:eastAsia="宋体" w:cs="Times New Roman"/>
                <w:b w:val="0"/>
                <w:bCs w:val="0"/>
                <w:i w:val="0"/>
                <w:iCs w:val="0"/>
                <w:color w:val="auto"/>
                <w:sz w:val="21"/>
                <w:szCs w:val="21"/>
              </w:rPr>
            </w:pPr>
            <w:r>
              <w:rPr>
                <w:rFonts w:hint="eastAsia" w:ascii="Times New Roman" w:hAnsi="Times New Roman" w:eastAsia="宋体" w:cs="Times New Roman"/>
                <w:sz w:val="21"/>
                <w:szCs w:val="21"/>
              </w:rPr>
              <w:t>0.078</w:t>
            </w:r>
          </w:p>
        </w:tc>
        <w:tc>
          <w:tcPr>
            <w:tcW w:w="1069" w:type="dxa"/>
            <w:vAlign w:val="center"/>
          </w:tcPr>
          <w:p>
            <w:pPr>
              <w:pStyle w:val="8"/>
              <w:widowControl/>
              <w:ind w:left="0" w:leftChars="0" w:right="0" w:rightChars="0"/>
              <w:jc w:val="center"/>
              <w:rPr>
                <w:rFonts w:hint="default" w:ascii="Times New Roman" w:hAnsi="Times New Roman" w:eastAsia="宋体" w:cs="Times New Roman"/>
                <w:b w:val="0"/>
                <w:bCs w:val="0"/>
                <w:i w:val="0"/>
                <w:iCs w:val="0"/>
                <w:color w:val="auto"/>
                <w:sz w:val="21"/>
                <w:szCs w:val="21"/>
              </w:rPr>
            </w:pPr>
            <w:r>
              <w:rPr>
                <w:rFonts w:hint="eastAsia" w:ascii="Times New Roman" w:hAnsi="Times New Roman" w:eastAsia="宋体" w:cs="Times New Roman"/>
                <w:sz w:val="21"/>
                <w:szCs w:val="21"/>
              </w:rPr>
              <w:t>0.315</w:t>
            </w:r>
          </w:p>
        </w:tc>
        <w:tc>
          <w:tcPr>
            <w:tcW w:w="1098" w:type="dxa"/>
            <w:vAlign w:val="center"/>
          </w:tcPr>
          <w:p>
            <w:pPr>
              <w:pStyle w:val="8"/>
              <w:widowControl/>
              <w:ind w:left="0" w:leftChars="0" w:right="0" w:rightChars="0"/>
              <w:jc w:val="center"/>
              <w:rPr>
                <w:rFonts w:hint="default" w:ascii="Times New Roman" w:hAnsi="Times New Roman" w:eastAsia="宋体" w:cs="Times New Roman"/>
                <w:b w:val="0"/>
                <w:bCs w:val="0"/>
                <w:i w:val="0"/>
                <w:iCs w:val="0"/>
                <w:color w:val="auto"/>
                <w:sz w:val="21"/>
                <w:szCs w:val="21"/>
                <w:lang w:val="en-US" w:eastAsia="zh-CN" w:bidi="ar-SA"/>
              </w:rPr>
            </w:pPr>
            <w:r>
              <w:rPr>
                <w:rFonts w:ascii="Times New Roman" w:hAnsi="Times New Roman" w:eastAsia="宋体" w:cs="Times New Roman"/>
                <w:sz w:val="21"/>
                <w:szCs w:val="21"/>
              </w:rPr>
              <w:t>1.</w:t>
            </w:r>
            <w:r>
              <w:rPr>
                <w:rFonts w:hint="eastAsia" w:ascii="Times New Roman" w:hAnsi="Times New Roman" w:eastAsia="宋体" w:cs="Times New Roman"/>
                <w:sz w:val="21"/>
                <w:szCs w:val="21"/>
              </w:rPr>
              <w:t>55</w:t>
            </w:r>
          </w:p>
        </w:tc>
        <w:tc>
          <w:tcPr>
            <w:tcW w:w="1098" w:type="dxa"/>
            <w:vAlign w:val="center"/>
          </w:tcPr>
          <w:p>
            <w:pPr>
              <w:pStyle w:val="8"/>
              <w:widowControl/>
              <w:ind w:left="0" w:leftChars="0" w:right="0" w:rightChars="0"/>
              <w:jc w:val="center"/>
              <w:rPr>
                <w:rFonts w:hint="default" w:ascii="Times New Roman" w:hAnsi="Times New Roman" w:eastAsia="宋体" w:cs="Times New Roman"/>
                <w:b w:val="0"/>
                <w:bCs w:val="0"/>
                <w:i w:val="0"/>
                <w:iCs w:val="0"/>
                <w:color w:val="auto"/>
                <w:sz w:val="21"/>
                <w:szCs w:val="21"/>
              </w:rPr>
            </w:pPr>
            <w:r>
              <w:rPr>
                <w:rFonts w:ascii="Times New Roman" w:hAnsi="Times New Roman" w:eastAsia="宋体" w:cs="Times New Roman"/>
                <w:sz w:val="21"/>
                <w:szCs w:val="21"/>
              </w:rPr>
              <w:t>5</w:t>
            </w:r>
          </w:p>
        </w:tc>
        <w:tc>
          <w:tcPr>
            <w:tcW w:w="1098" w:type="dxa"/>
            <w:vAlign w:val="center"/>
          </w:tcPr>
          <w:p>
            <w:pPr>
              <w:pStyle w:val="8"/>
              <w:widowControl/>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r>
              <w:rPr>
                <w:rFonts w:ascii="Times New Roman" w:hAnsi="Times New Roman" w:eastAsia="宋体" w:cs="Times New Roman"/>
                <w:sz w:val="21"/>
                <w:szCs w:val="21"/>
              </w:rPr>
              <w:t>0.39</w:t>
            </w:r>
          </w:p>
        </w:tc>
        <w:tc>
          <w:tcPr>
            <w:tcW w:w="2703" w:type="dxa"/>
            <w:vAlign w:val="center"/>
          </w:tcPr>
          <w:p>
            <w:pPr>
              <w:pStyle w:val="8"/>
              <w:widowControl/>
              <w:ind w:left="0" w:leftChars="0" w:right="0" w:rightChars="0"/>
              <w:jc w:val="center"/>
              <w:rPr>
                <w:rFonts w:hint="default" w:ascii="Times New Roman" w:hAnsi="Times New Roman" w:eastAsia="宋体" w:cs="Times New Roman"/>
                <w:b w:val="0"/>
                <w:bCs w:val="0"/>
                <w:i w:val="0"/>
                <w:iCs w:val="0"/>
                <w:color w:val="auto"/>
                <w:sz w:val="21"/>
                <w:szCs w:val="21"/>
              </w:rPr>
            </w:pPr>
            <w:r>
              <w:rPr>
                <w:rFonts w:ascii="Times New Roman" w:hAnsi="Times New Roman" w:eastAsia="宋体" w:cs="Times New Roman"/>
                <w:sz w:val="21"/>
                <w:szCs w:val="21"/>
              </w:rPr>
              <w:t>1</w:t>
            </w:r>
            <w:r>
              <w:rPr>
                <w:rFonts w:hint="eastAsia" w:ascii="Times New Roman" w:hAnsi="Times New Roman" w:eastAsia="宋体" w:cs="Times New Roman"/>
                <w:sz w:val="21"/>
                <w:szCs w:val="21"/>
              </w:rPr>
              <w:t>2</w:t>
            </w:r>
            <w:r>
              <w:rPr>
                <w:rFonts w:ascii="Times New Roman" w:hAnsi="Times New Roman" w:eastAsia="宋体" w:cs="Times New Roman"/>
                <w:sz w:val="21"/>
                <w:szCs w:val="21"/>
              </w:rPr>
              <w:t>个＞2mg/L，其中</w:t>
            </w:r>
            <w:r>
              <w:rPr>
                <w:rFonts w:hint="eastAsia" w:ascii="Times New Roman" w:hAnsi="Times New Roman" w:eastAsia="宋体" w:cs="Times New Roman"/>
                <w:sz w:val="21"/>
                <w:szCs w:val="21"/>
              </w:rPr>
              <w:t>6</w:t>
            </w:r>
            <w:r>
              <w:rPr>
                <w:rFonts w:ascii="Times New Roman" w:hAnsi="Times New Roman" w:eastAsia="宋体" w:cs="Times New Roman"/>
                <w:sz w:val="21"/>
                <w:szCs w:val="21"/>
              </w:rPr>
              <w:t>个＞5mg/L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2</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镭-226</w:t>
            </w:r>
          </w:p>
        </w:tc>
        <w:tc>
          <w:tcPr>
            <w:tcW w:w="30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55个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r>
              <w:rPr>
                <w:rFonts w:hint="default" w:ascii="Times New Roman" w:hAnsi="Times New Roman" w:eastAsia="宋体" w:cs="Times New Roman"/>
                <w:b w:val="0"/>
                <w:bCs w:val="0"/>
                <w:i w:val="0"/>
                <w:iCs w:val="0"/>
                <w:color w:val="auto"/>
                <w:sz w:val="21"/>
                <w:szCs w:val="21"/>
              </w:rPr>
              <w:t>Bq/L</w:t>
            </w:r>
          </w:p>
        </w:tc>
        <w:tc>
          <w:tcPr>
            <w:tcW w:w="54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0.003-1.46</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0.43</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0.085</w:t>
            </w:r>
          </w:p>
        </w:tc>
        <w:tc>
          <w:tcPr>
            <w:tcW w:w="37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0.255</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i w:val="0"/>
                <w:iCs w:val="0"/>
                <w:color w:val="auto"/>
                <w:sz w:val="21"/>
                <w:szCs w:val="21"/>
              </w:rPr>
              <w:t>0.573</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4.5</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1.33</w:t>
            </w:r>
          </w:p>
        </w:tc>
        <w:tc>
          <w:tcPr>
            <w:tcW w:w="95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3</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铅-210</w:t>
            </w:r>
          </w:p>
        </w:tc>
        <w:tc>
          <w:tcPr>
            <w:tcW w:w="30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10个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mBq/L</w:t>
            </w:r>
          </w:p>
        </w:tc>
        <w:tc>
          <w:tcPr>
            <w:tcW w:w="54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1-33</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12.9</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2</w:t>
            </w:r>
          </w:p>
        </w:tc>
        <w:tc>
          <w:tcPr>
            <w:tcW w:w="37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7</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i w:val="0"/>
                <w:iCs w:val="0"/>
                <w:color w:val="auto"/>
                <w:sz w:val="21"/>
                <w:szCs w:val="21"/>
              </w:rPr>
              <w:t>25</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p>
        </w:tc>
        <w:tc>
          <w:tcPr>
            <w:tcW w:w="95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jc w:val="center"/>
              <w:rPr>
                <w:rFonts w:hint="default" w:ascii="Times New Roman" w:hAnsi="Times New Roman" w:eastAsia="宋体" w:cs="Times New Roman"/>
                <w:b w:val="0"/>
                <w:bCs w:val="0"/>
                <w:i w:val="0"/>
                <w:iCs w:val="0"/>
                <w:color w:val="auto"/>
                <w:szCs w:val="21"/>
              </w:rPr>
            </w:pPr>
            <w:r>
              <w:rPr>
                <w:rFonts w:hint="default" w:ascii="Times New Roman" w:hAnsi="Times New Roman" w:eastAsia="宋体" w:cs="Times New Roman"/>
                <w:b w:val="0"/>
                <w:bCs w:val="0"/>
                <w:i w:val="0"/>
                <w:iCs w:val="0"/>
                <w:color w:val="auto"/>
                <w:szCs w:val="21"/>
              </w:rPr>
              <w:t>4</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钋-210</w:t>
            </w:r>
          </w:p>
        </w:tc>
        <w:tc>
          <w:tcPr>
            <w:tcW w:w="30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10个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mBq/L</w:t>
            </w:r>
          </w:p>
        </w:tc>
        <w:tc>
          <w:tcPr>
            <w:tcW w:w="54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1-86</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27.4</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1</w:t>
            </w:r>
          </w:p>
        </w:tc>
        <w:tc>
          <w:tcPr>
            <w:tcW w:w="37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r>
              <w:rPr>
                <w:rFonts w:hint="default" w:ascii="Times New Roman" w:hAnsi="Times New Roman" w:eastAsia="宋体" w:cs="Times New Roman"/>
                <w:b w:val="0"/>
                <w:bCs w:val="0"/>
                <w:i w:val="0"/>
                <w:iCs w:val="0"/>
                <w:color w:val="auto"/>
                <w:sz w:val="21"/>
                <w:szCs w:val="21"/>
              </w:rPr>
              <w:t>6</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bidi="ar-SA"/>
              </w:rPr>
            </w:pPr>
            <w:r>
              <w:rPr>
                <w:rFonts w:hint="default" w:ascii="Times New Roman" w:hAnsi="Times New Roman" w:eastAsia="宋体" w:cs="Times New Roman"/>
                <w:b w:val="0"/>
                <w:bCs w:val="0"/>
                <w:i w:val="0"/>
                <w:iCs w:val="0"/>
                <w:color w:val="auto"/>
                <w:sz w:val="21"/>
                <w:szCs w:val="21"/>
              </w:rPr>
              <w:t>55</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rPr>
            </w:pPr>
          </w:p>
        </w:tc>
        <w:tc>
          <w:tcPr>
            <w:tcW w:w="95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 w:type="pct"/>
            <w:vAlign w:val="center"/>
          </w:tcPr>
          <w:p>
            <w:pPr>
              <w:pStyle w:val="2"/>
              <w:widowControl w:val="0"/>
              <w:ind w:firstLine="0" w:firstLineChars="0"/>
              <w:jc w:val="center"/>
              <w:rPr>
                <w:rFonts w:hint="default" w:ascii="Times New Roman" w:hAnsi="Times New Roman" w:eastAsia="宋体" w:cs="Times New Roman"/>
                <w:b w:val="0"/>
                <w:bCs w:val="0"/>
                <w:i w:val="0"/>
                <w:iCs w:val="0"/>
                <w:color w:val="auto"/>
                <w:szCs w:val="21"/>
                <w:highlight w:val="none"/>
              </w:rPr>
            </w:pPr>
            <w:r>
              <w:rPr>
                <w:rFonts w:hint="default" w:ascii="Times New Roman" w:hAnsi="Times New Roman" w:eastAsia="宋体" w:cs="Times New Roman"/>
                <w:b w:val="0"/>
                <w:bCs w:val="0"/>
                <w:i w:val="0"/>
                <w:iCs w:val="0"/>
                <w:color w:val="auto"/>
                <w:szCs w:val="21"/>
                <w:highlight w:val="none"/>
              </w:rPr>
              <w:t>5</w:t>
            </w:r>
          </w:p>
        </w:tc>
        <w:tc>
          <w:tcPr>
            <w:tcW w:w="30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rPr>
            </w:pPr>
            <w:r>
              <w:rPr>
                <w:rFonts w:hint="default" w:ascii="Times New Roman" w:hAnsi="Times New Roman" w:eastAsia="宋体" w:cs="Times New Roman"/>
                <w:b w:val="0"/>
                <w:bCs w:val="0"/>
                <w:i w:val="0"/>
                <w:iCs w:val="0"/>
                <w:color w:val="auto"/>
                <w:sz w:val="21"/>
                <w:szCs w:val="21"/>
              </w:rPr>
              <w:t>钍</w:t>
            </w:r>
          </w:p>
        </w:tc>
        <w:tc>
          <w:tcPr>
            <w:tcW w:w="30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rPr>
            </w:pPr>
            <w:r>
              <w:rPr>
                <w:rFonts w:hint="default" w:ascii="Times New Roman" w:hAnsi="Times New Roman" w:eastAsia="宋体" w:cs="Times New Roman"/>
                <w:b w:val="0"/>
                <w:bCs w:val="0"/>
                <w:i w:val="0"/>
                <w:iCs w:val="0"/>
                <w:color w:val="auto"/>
                <w:sz w:val="21"/>
                <w:szCs w:val="21"/>
              </w:rPr>
              <w:t>10个</w:t>
            </w:r>
          </w:p>
        </w:tc>
        <w:tc>
          <w:tcPr>
            <w:tcW w:w="35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rPr>
            </w:pPr>
            <w:r>
              <w:rPr>
                <w:rFonts w:hint="default" w:ascii="Times New Roman" w:hAnsi="Times New Roman" w:eastAsia="宋体" w:cs="Times New Roman"/>
                <w:b w:val="0"/>
                <w:bCs w:val="0"/>
                <w:i w:val="0"/>
                <w:iCs w:val="0"/>
                <w:color w:val="auto"/>
                <w:sz w:val="21"/>
                <w:szCs w:val="21"/>
              </w:rPr>
              <w:t>Bq/L</w:t>
            </w:r>
          </w:p>
        </w:tc>
        <w:tc>
          <w:tcPr>
            <w:tcW w:w="54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r>
              <w:rPr>
                <w:rFonts w:hint="default" w:ascii="Times New Roman" w:hAnsi="Times New Roman" w:eastAsia="宋体" w:cs="Times New Roman"/>
                <w:b w:val="0"/>
                <w:bCs w:val="0"/>
                <w:i w:val="0"/>
                <w:iCs w:val="0"/>
                <w:color w:val="auto"/>
                <w:sz w:val="21"/>
                <w:szCs w:val="21"/>
              </w:rPr>
              <w:t>0.002-10.1</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r>
              <w:rPr>
                <w:rFonts w:hint="default" w:ascii="Times New Roman" w:hAnsi="Times New Roman" w:eastAsia="宋体" w:cs="Times New Roman"/>
                <w:b w:val="0"/>
                <w:bCs w:val="0"/>
                <w:i w:val="0"/>
                <w:iCs w:val="0"/>
                <w:color w:val="auto"/>
                <w:sz w:val="21"/>
                <w:szCs w:val="21"/>
              </w:rPr>
              <w:t>2.44</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rPr>
            </w:pPr>
            <w:r>
              <w:rPr>
                <w:rFonts w:hint="default" w:ascii="Times New Roman" w:hAnsi="Times New Roman" w:eastAsia="宋体" w:cs="Times New Roman"/>
                <w:b w:val="0"/>
                <w:bCs w:val="0"/>
                <w:i w:val="0"/>
                <w:iCs w:val="0"/>
                <w:color w:val="auto"/>
                <w:sz w:val="21"/>
                <w:szCs w:val="21"/>
              </w:rPr>
              <w:t>0.004</w:t>
            </w:r>
          </w:p>
        </w:tc>
        <w:tc>
          <w:tcPr>
            <w:tcW w:w="37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r>
              <w:rPr>
                <w:rFonts w:hint="default" w:ascii="Times New Roman" w:hAnsi="Times New Roman" w:eastAsia="宋体" w:cs="Times New Roman"/>
                <w:b w:val="0"/>
                <w:bCs w:val="0"/>
                <w:i w:val="0"/>
                <w:iCs w:val="0"/>
                <w:color w:val="auto"/>
                <w:sz w:val="21"/>
                <w:szCs w:val="21"/>
              </w:rPr>
              <w:t>0.11</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bidi="ar-SA"/>
              </w:rPr>
            </w:pPr>
            <w:r>
              <w:rPr>
                <w:rFonts w:hint="default" w:ascii="Times New Roman" w:hAnsi="Times New Roman" w:eastAsia="宋体" w:cs="Times New Roman"/>
                <w:b w:val="0"/>
                <w:bCs w:val="0"/>
                <w:i w:val="0"/>
                <w:iCs w:val="0"/>
                <w:color w:val="auto"/>
                <w:sz w:val="21"/>
                <w:szCs w:val="21"/>
              </w:rPr>
              <w:t>4.08</w:t>
            </w: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p>
        </w:tc>
        <w:tc>
          <w:tcPr>
            <w:tcW w:w="38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p>
        </w:tc>
        <w:tc>
          <w:tcPr>
            <w:tcW w:w="95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i w:val="0"/>
                <w:iCs w:val="0"/>
                <w:color w:val="auto"/>
                <w:sz w:val="21"/>
                <w:szCs w:val="21"/>
                <w:highlight w:val="none"/>
                <w:lang w:val="en-US" w:eastAsia="zh-CN"/>
              </w:rPr>
            </w:pPr>
            <w:r>
              <w:rPr>
                <w:rFonts w:hint="default" w:ascii="Times New Roman" w:hAnsi="Times New Roman" w:eastAsia="宋体" w:cs="Times New Roman"/>
                <w:b w:val="0"/>
                <w:bCs w:val="0"/>
                <w:i w:val="0"/>
                <w:iCs w:val="0"/>
                <w:color w:val="auto"/>
                <w:sz w:val="21"/>
                <w:szCs w:val="21"/>
              </w:rPr>
              <w:t>供参考</w:t>
            </w:r>
          </w:p>
        </w:tc>
      </w:tr>
    </w:tbl>
    <w:p>
      <w:pPr>
        <w:pStyle w:val="2"/>
        <w:ind w:left="0" w:leftChars="0" w:firstLine="0" w:firstLineChars="0"/>
        <w:rPr>
          <w:rFonts w:hint="default"/>
          <w:lang w:val="en-US" w:eastAsia="zh-CN"/>
        </w:rPr>
      </w:pPr>
      <w:r>
        <w:rPr>
          <w:rFonts w:hint="eastAsia" w:ascii="宋体" w:hAnsi="宋体" w:eastAsia="宋体" w:cs="宋体"/>
          <w:b w:val="0"/>
          <w:bCs w:val="0"/>
          <w:szCs w:val="21"/>
          <w:lang w:val="en-US" w:eastAsia="zh-CN"/>
        </w:rPr>
        <w:t>注：本底值通过</w:t>
      </w:r>
      <w:r>
        <w:rPr>
          <w:rFonts w:hint="eastAsia" w:ascii="宋体" w:hAnsi="宋体" w:eastAsia="宋体" w:cs="宋体"/>
          <w:b w:val="0"/>
          <w:bCs w:val="0"/>
          <w:szCs w:val="21"/>
          <w:lang w:val="zh-CN" w:eastAsia="zh-CN"/>
        </w:rPr>
        <w:t>历史资料调查分析</w:t>
      </w:r>
      <w:r>
        <w:rPr>
          <w:rFonts w:hint="eastAsia" w:ascii="宋体" w:hAnsi="宋体" w:eastAsia="宋体" w:cs="宋体"/>
          <w:b w:val="0"/>
          <w:bCs w:val="0"/>
          <w:szCs w:val="21"/>
          <w:lang w:val="en-US" w:eastAsia="zh-CN"/>
        </w:rPr>
        <w:t>得到。</w:t>
      </w:r>
    </w:p>
    <w:p>
      <w:pPr>
        <w:pageBreakBefore w:val="0"/>
        <w:kinsoku/>
        <w:wordWrap/>
        <w:overflowPunct/>
        <w:topLinePunct w:val="0"/>
        <w:bidi w:val="0"/>
        <w:spacing w:line="520" w:lineRule="exact"/>
        <w:ind w:firstLine="560" w:firstLineChars="200"/>
        <w:textAlignment w:val="auto"/>
        <w:rPr>
          <w:rFonts w:hint="default" w:ascii="Times New Roman" w:hAnsi="Times New Roman" w:eastAsia="宋体" w:cs="Times New Roman"/>
          <w:sz w:val="28"/>
          <w:szCs w:val="28"/>
          <w:lang w:val="en-US" w:eastAsia="zh-CN"/>
        </w:rPr>
        <w:sectPr>
          <w:pgSz w:w="16838" w:h="11906" w:orient="landscape"/>
          <w:pgMar w:top="1800" w:right="1440" w:bottom="1800" w:left="1440" w:header="851" w:footer="992" w:gutter="0"/>
          <w:pgNumType w:fmt="decimal"/>
          <w:cols w:space="425" w:num="1"/>
          <w:docGrid w:type="lines" w:linePitch="312" w:charSpace="0"/>
        </w:sectPr>
      </w:pP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通过对</w:t>
      </w:r>
      <w:r>
        <w:rPr>
          <w:rFonts w:hint="eastAsia" w:ascii="Times New Roman" w:hAnsi="Times New Roman" w:eastAsia="宋体" w:cs="Times New Roman"/>
          <w:color w:val="auto"/>
          <w:sz w:val="24"/>
          <w:szCs w:val="24"/>
          <w:highlight w:val="none"/>
          <w:lang w:val="en-US" w:eastAsia="zh-CN"/>
        </w:rPr>
        <w:t>生产工艺</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核素半衰期、放射性毒性、衰变方式、致癌风险系数</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剂量转换因子</w:t>
      </w:r>
      <w:r>
        <w:rPr>
          <w:rFonts w:hint="eastAsia" w:ascii="Times New Roman" w:hAnsi="Times New Roman" w:eastAsia="宋体" w:cs="Times New Roman"/>
          <w:sz w:val="24"/>
          <w:szCs w:val="24"/>
          <w:lang w:val="en-US" w:eastAsia="zh-CN"/>
        </w:rPr>
        <w:t>、典型终采区源项调查结果</w:t>
      </w:r>
      <w:r>
        <w:rPr>
          <w:rFonts w:hint="default" w:ascii="Times New Roman" w:hAnsi="Times New Roman" w:eastAsia="宋体" w:cs="Times New Roman"/>
          <w:sz w:val="24"/>
          <w:szCs w:val="24"/>
          <w:lang w:val="en-US" w:eastAsia="zh-CN"/>
        </w:rPr>
        <w:t>等的综合分析，</w:t>
      </w:r>
      <w:r>
        <w:rPr>
          <w:rFonts w:hint="eastAsia" w:ascii="Times New Roman" w:hAnsi="Times New Roman" w:eastAsia="宋体" w:cs="Times New Roman"/>
          <w:sz w:val="24"/>
          <w:szCs w:val="24"/>
          <w:lang w:val="en-US" w:eastAsia="zh-CN"/>
        </w:rPr>
        <w:t>建议地下水修复放射性</w:t>
      </w:r>
      <w:r>
        <w:rPr>
          <w:rFonts w:hint="default" w:ascii="Times New Roman" w:hAnsi="Times New Roman" w:eastAsia="宋体" w:cs="Times New Roman"/>
          <w:sz w:val="24"/>
          <w:szCs w:val="24"/>
          <w:lang w:val="en-US" w:eastAsia="zh-CN"/>
        </w:rPr>
        <w:t>特征因子</w:t>
      </w:r>
      <w:r>
        <w:rPr>
          <w:rFonts w:hint="eastAsia" w:ascii="Times New Roman" w:hAnsi="Times New Roman" w:eastAsia="宋体" w:cs="Times New Roman"/>
          <w:sz w:val="24"/>
          <w:szCs w:val="24"/>
          <w:lang w:val="en-US" w:eastAsia="zh-CN"/>
        </w:rPr>
        <w:t>包括铀</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镭-226、钍-230、铅-210、钋-210，关注铀</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镭-226。</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黑体" w:hAnsi="黑体" w:eastAsia="黑体"/>
          <w:kern w:val="0"/>
          <w:sz w:val="24"/>
          <w:lang w:val="en-US" w:eastAsia="zh-CN"/>
        </w:rPr>
      </w:pPr>
      <w:r>
        <w:rPr>
          <w:rFonts w:hint="eastAsia" w:ascii="黑体" w:hAnsi="黑体" w:eastAsia="黑体"/>
          <w:kern w:val="0"/>
          <w:sz w:val="24"/>
          <w:lang w:val="en-US" w:eastAsia="zh-CN"/>
        </w:rPr>
        <w:t>2.4.2 非</w:t>
      </w:r>
      <w:r>
        <w:rPr>
          <w:rFonts w:hint="default" w:ascii="黑体" w:hAnsi="黑体" w:eastAsia="黑体"/>
          <w:kern w:val="0"/>
          <w:sz w:val="24"/>
          <w:lang w:val="en-US" w:eastAsia="zh-CN"/>
        </w:rPr>
        <w:t>放射性特征因子</w:t>
      </w:r>
    </w:p>
    <w:p>
      <w:pPr>
        <w:pStyle w:val="2"/>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根据地下水的使用功能类别，</w:t>
      </w:r>
      <w:r>
        <w:rPr>
          <w:rFonts w:hint="eastAsia" w:ascii="Times New Roman" w:cs="Times New Roman"/>
          <w:sz w:val="24"/>
          <w:szCs w:val="24"/>
          <w:lang w:val="en-US" w:eastAsia="zh-CN"/>
        </w:rPr>
        <w:t>参照</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地下水质量标准</w:t>
      </w:r>
      <w:r>
        <w:rPr>
          <w:rFonts w:hint="default" w:ascii="Times New Roman" w:hAnsi="Times New Roman" w:eastAsia="宋体" w:cs="Times New Roman"/>
          <w:color w:val="auto"/>
          <w:sz w:val="24"/>
          <w:szCs w:val="24"/>
          <w:lang w:eastAsia="zh-CN"/>
        </w:rPr>
        <w:t>》（</w:t>
      </w:r>
      <w:bookmarkStart w:id="11" w:name="OLE_LINK6"/>
      <w:r>
        <w:rPr>
          <w:rFonts w:hint="default" w:ascii="Times New Roman" w:hAnsi="Times New Roman" w:eastAsia="宋体" w:cs="Times New Roman"/>
          <w:color w:val="auto"/>
          <w:sz w:val="24"/>
          <w:szCs w:val="24"/>
        </w:rPr>
        <w:t>GB/T14848</w:t>
      </w:r>
      <w:bookmarkEnd w:id="11"/>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sz w:val="24"/>
          <w:szCs w:val="24"/>
          <w:lang w:val="en-US" w:eastAsia="zh-CN"/>
        </w:rPr>
        <w:t>202</w:t>
      </w:r>
      <w:r>
        <w:rPr>
          <w:rFonts w:hint="eastAsia" w:ascii="Times New Roman" w:cs="Times New Roman"/>
          <w:sz w:val="24"/>
          <w:szCs w:val="24"/>
          <w:lang w:val="en-US" w:eastAsia="zh-CN"/>
        </w:rPr>
        <w:t>5</w:t>
      </w:r>
      <w:r>
        <w:rPr>
          <w:rFonts w:hint="default" w:ascii="Times New Roman" w:hAnsi="Times New Roman" w:eastAsia="宋体" w:cs="Times New Roman"/>
          <w:color w:val="auto"/>
          <w:sz w:val="24"/>
          <w:szCs w:val="24"/>
          <w:lang w:eastAsia="zh-CN"/>
        </w:rPr>
        <w:t>）</w:t>
      </w:r>
      <w:r>
        <w:rPr>
          <w:rFonts w:hint="eastAsia" w:ascii="Times New Roman" w:cs="Times New Roman"/>
          <w:color w:val="auto"/>
          <w:sz w:val="24"/>
          <w:szCs w:val="24"/>
          <w:lang w:val="en-US" w:eastAsia="zh-CN"/>
        </w:rPr>
        <w:t>报批</w:t>
      </w:r>
      <w:r>
        <w:rPr>
          <w:rFonts w:hint="default" w:ascii="Times New Roman" w:hAnsi="Times New Roman" w:eastAsia="宋体" w:cs="Times New Roman"/>
          <w:color w:val="auto"/>
          <w:sz w:val="24"/>
          <w:szCs w:val="24"/>
          <w:lang w:val="en-US" w:eastAsia="zh-CN"/>
        </w:rPr>
        <w:t>稿</w:t>
      </w:r>
      <w:r>
        <w:rPr>
          <w:rFonts w:hint="default" w:ascii="Times New Roman" w:hAnsi="Times New Roman" w:eastAsia="宋体" w:cs="Times New Roman"/>
          <w:sz w:val="24"/>
          <w:szCs w:val="24"/>
          <w:lang w:val="en-US" w:eastAsia="zh-CN"/>
        </w:rPr>
        <w:t>中的指标，结合地浸</w:t>
      </w:r>
      <w:r>
        <w:rPr>
          <w:rFonts w:hint="eastAsia" w:ascii="Times New Roman" w:cs="Times New Roman"/>
          <w:sz w:val="24"/>
          <w:szCs w:val="24"/>
          <w:lang w:val="en-US" w:eastAsia="zh-CN"/>
        </w:rPr>
        <w:t>采</w:t>
      </w:r>
      <w:r>
        <w:rPr>
          <w:rFonts w:hint="default" w:ascii="Times New Roman" w:hAnsi="Times New Roman" w:eastAsia="宋体" w:cs="Times New Roman"/>
          <w:sz w:val="24"/>
          <w:szCs w:val="24"/>
          <w:lang w:val="en-US" w:eastAsia="zh-CN"/>
        </w:rPr>
        <w:t>铀生产工艺实践和</w:t>
      </w:r>
      <w:r>
        <w:rPr>
          <w:rFonts w:hint="eastAsia" w:ascii="Times New Roman" w:hAnsi="Times New Roman" w:eastAsia="宋体" w:cs="Times New Roman"/>
          <w:sz w:val="24"/>
          <w:szCs w:val="24"/>
          <w:lang w:val="en-US" w:eastAsia="zh-CN"/>
        </w:rPr>
        <w:t>典型终采区</w:t>
      </w:r>
      <w:r>
        <w:rPr>
          <w:rFonts w:hint="default" w:ascii="Times New Roman" w:hAnsi="Times New Roman" w:eastAsia="宋体" w:cs="Times New Roman"/>
          <w:sz w:val="24"/>
          <w:szCs w:val="24"/>
          <w:lang w:val="en-US" w:eastAsia="zh-CN"/>
        </w:rPr>
        <w:t>源项调查结果，</w:t>
      </w:r>
      <w:r>
        <w:rPr>
          <w:rFonts w:hint="eastAsia" w:ascii="Times New Roman" w:cs="Times New Roman"/>
          <w:sz w:val="24"/>
          <w:szCs w:val="24"/>
          <w:lang w:val="en-US" w:eastAsia="zh-CN"/>
        </w:rPr>
        <w:t>筛选</w:t>
      </w:r>
      <w:r>
        <w:rPr>
          <w:rFonts w:hint="default" w:ascii="Times New Roman" w:hAnsi="Times New Roman" w:eastAsia="宋体" w:cs="Times New Roman"/>
          <w:sz w:val="24"/>
          <w:szCs w:val="24"/>
          <w:lang w:val="en-US" w:eastAsia="zh-CN"/>
        </w:rPr>
        <w:t>地下水修复特征因子。对于地下水质量标准中未涉及的指标，原则上不纳入特征因子</w:t>
      </w:r>
      <w:r>
        <w:rPr>
          <w:rFonts w:hint="eastAsia" w:ascii="Times New Roman" w:cs="Times New Roman"/>
          <w:sz w:val="24"/>
          <w:szCs w:val="24"/>
          <w:lang w:val="en-US" w:eastAsia="zh-CN"/>
        </w:rPr>
        <w:t>范畴</w:t>
      </w:r>
      <w:r>
        <w:rPr>
          <w:rFonts w:hint="default" w:ascii="Times New Roman" w:hAnsi="Times New Roman" w:eastAsia="宋体" w:cs="Times New Roman"/>
          <w:sz w:val="24"/>
          <w:szCs w:val="24"/>
          <w:lang w:val="en-US" w:eastAsia="zh-CN"/>
        </w:rPr>
        <w:t>。</w:t>
      </w:r>
    </w:p>
    <w:p>
      <w:pPr>
        <w:pStyle w:val="2"/>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《地下水质量标准》（GB/T14848-202</w:t>
      </w:r>
      <w:r>
        <w:rPr>
          <w:rFonts w:hint="eastAsia" w:ascii="Times New Roman" w:cs="Times New Roman"/>
          <w:sz w:val="24"/>
          <w:szCs w:val="24"/>
          <w:lang w:val="en-US" w:eastAsia="zh-CN"/>
        </w:rPr>
        <w:t>5</w:t>
      </w:r>
      <w:r>
        <w:rPr>
          <w:rFonts w:hint="default" w:ascii="Times New Roman" w:hAnsi="Times New Roman" w:eastAsia="宋体" w:cs="Times New Roman"/>
          <w:sz w:val="24"/>
          <w:szCs w:val="24"/>
          <w:lang w:val="en-US" w:eastAsia="zh-CN"/>
        </w:rPr>
        <w:t>）</w:t>
      </w:r>
      <w:r>
        <w:rPr>
          <w:rFonts w:hint="eastAsia" w:ascii="Times New Roman" w:cs="Times New Roman"/>
          <w:sz w:val="24"/>
          <w:szCs w:val="24"/>
          <w:lang w:val="en-US" w:eastAsia="zh-CN"/>
        </w:rPr>
        <w:t>报批</w:t>
      </w:r>
      <w:r>
        <w:rPr>
          <w:rFonts w:hint="default" w:ascii="Times New Roman" w:hAnsi="Times New Roman" w:eastAsia="宋体" w:cs="Times New Roman"/>
          <w:sz w:val="24"/>
          <w:szCs w:val="24"/>
          <w:lang w:val="en-US" w:eastAsia="zh-CN"/>
        </w:rPr>
        <w:t>稿中，</w:t>
      </w:r>
      <w:r>
        <w:rPr>
          <w:rFonts w:hint="default" w:ascii="Times New Roman" w:hAnsi="Times New Roman" w:eastAsia="宋体" w:cs="Times New Roman"/>
          <w:sz w:val="24"/>
          <w:szCs w:val="24"/>
        </w:rPr>
        <w:t>地下水质量指标</w:t>
      </w:r>
      <w:r>
        <w:rPr>
          <w:rFonts w:hint="default" w:ascii="Times New Roman" w:hAnsi="Times New Roman" w:eastAsia="宋体" w:cs="Times New Roman"/>
          <w:sz w:val="24"/>
          <w:szCs w:val="24"/>
          <w:lang w:val="en-US" w:eastAsia="zh-CN"/>
        </w:rPr>
        <w:t>包括39</w:t>
      </w:r>
      <w:r>
        <w:rPr>
          <w:rFonts w:hint="default" w:ascii="Times New Roman" w:hAnsi="Times New Roman" w:eastAsia="宋体" w:cs="Times New Roman"/>
          <w:sz w:val="24"/>
          <w:szCs w:val="24"/>
          <w:vertAlign w:val="baseline"/>
          <w:lang w:val="en-US" w:eastAsia="zh-CN"/>
        </w:rPr>
        <w:t>项</w:t>
      </w:r>
      <w:r>
        <w:rPr>
          <w:rFonts w:hint="default" w:ascii="Times New Roman" w:hAnsi="Times New Roman" w:eastAsia="宋体" w:cs="Times New Roman"/>
          <w:sz w:val="24"/>
          <w:szCs w:val="24"/>
        </w:rPr>
        <w:t>常规指标和</w:t>
      </w:r>
      <w:r>
        <w:rPr>
          <w:rFonts w:hint="default" w:ascii="Times New Roman" w:hAnsi="Times New Roman" w:eastAsia="宋体" w:cs="Times New Roman"/>
          <w:sz w:val="24"/>
          <w:szCs w:val="24"/>
          <w:lang w:val="en-US" w:eastAsia="zh-CN"/>
        </w:rPr>
        <w:t>54</w:t>
      </w:r>
      <w:r>
        <w:rPr>
          <w:rFonts w:hint="default" w:ascii="Times New Roman" w:hAnsi="Times New Roman" w:eastAsia="宋体" w:cs="Times New Roman"/>
          <w:sz w:val="24"/>
          <w:szCs w:val="24"/>
          <w:vertAlign w:val="baseline"/>
          <w:lang w:val="en-US" w:eastAsia="zh-CN"/>
        </w:rPr>
        <w:t>项</w:t>
      </w:r>
      <w:r>
        <w:rPr>
          <w:rFonts w:hint="default" w:ascii="Times New Roman" w:hAnsi="Times New Roman" w:eastAsia="宋体" w:cs="Times New Roman"/>
          <w:sz w:val="24"/>
          <w:szCs w:val="24"/>
        </w:rPr>
        <w:t>非常规指标</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共计93</w:t>
      </w:r>
      <w:r>
        <w:rPr>
          <w:rFonts w:hint="default" w:ascii="Times New Roman" w:hAnsi="Times New Roman" w:eastAsia="宋体" w:cs="Times New Roman"/>
          <w:sz w:val="24"/>
          <w:szCs w:val="24"/>
          <w:vertAlign w:val="baseline"/>
          <w:lang w:val="en-US" w:eastAsia="zh-CN"/>
        </w:rPr>
        <w:t>项</w:t>
      </w:r>
      <w:r>
        <w:rPr>
          <w:rFonts w:hint="default" w:ascii="Times New Roman" w:hAnsi="Times New Roman" w:eastAsia="宋体" w:cs="Times New Roman"/>
          <w:sz w:val="24"/>
          <w:szCs w:val="24"/>
          <w:lang w:val="en-US" w:eastAsia="zh-CN"/>
        </w:rPr>
        <w:t>指标。指标统计情况见表</w:t>
      </w:r>
      <w:r>
        <w:rPr>
          <w:rFonts w:hint="eastAsia" w:ascii="Times New Roman" w:cs="Times New Roman"/>
          <w:sz w:val="24"/>
          <w:szCs w:val="24"/>
          <w:lang w:val="en-US" w:eastAsia="zh-CN"/>
        </w:rPr>
        <w:t>4</w:t>
      </w:r>
      <w:r>
        <w:rPr>
          <w:rFonts w:hint="default" w:ascii="Times New Roman" w:hAnsi="Times New Roman" w:eastAsia="宋体" w:cs="Times New Roman"/>
          <w:sz w:val="24"/>
          <w:szCs w:val="24"/>
          <w:lang w:val="en-US" w:eastAsia="zh-CN"/>
        </w:rPr>
        <w:t>。</w:t>
      </w:r>
    </w:p>
    <w:p>
      <w:pPr>
        <w:pStyle w:val="2"/>
        <w:pageBreakBefore w:val="0"/>
        <w:kinsoku/>
        <w:wordWrap/>
        <w:overflowPunct/>
        <w:topLinePunct w:val="0"/>
        <w:bidi w:val="0"/>
        <w:spacing w:line="520" w:lineRule="exact"/>
        <w:ind w:left="0" w:leftChars="0" w:firstLine="0" w:firstLineChars="0"/>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表</w:t>
      </w:r>
      <w:r>
        <w:rPr>
          <w:rFonts w:hint="eastAsia" w:ascii="Times New Roman" w:cs="Times New Roman"/>
          <w:sz w:val="24"/>
          <w:szCs w:val="24"/>
          <w:lang w:val="en-US" w:eastAsia="zh-CN"/>
        </w:rPr>
        <w:t>4</w:t>
      </w:r>
      <w:r>
        <w:rPr>
          <w:rFonts w:hint="default" w:ascii="Times New Roman" w:hAnsi="Times New Roman" w:eastAsia="宋体" w:cs="Times New Roman"/>
          <w:sz w:val="24"/>
          <w:szCs w:val="24"/>
          <w:lang w:val="en-US" w:eastAsia="zh-CN"/>
        </w:rPr>
        <w:t xml:space="preserve">  地下水质量标准</w:t>
      </w:r>
      <w:r>
        <w:rPr>
          <w:rFonts w:hint="eastAsia" w:ascii="Times New Roman" w:cs="Times New Roman"/>
          <w:sz w:val="24"/>
          <w:szCs w:val="24"/>
          <w:lang w:val="en-US" w:eastAsia="zh-CN"/>
        </w:rPr>
        <w:t>所有</w:t>
      </w:r>
      <w:r>
        <w:rPr>
          <w:rFonts w:hint="default" w:ascii="Times New Roman" w:hAnsi="Times New Roman" w:eastAsia="宋体" w:cs="Times New Roman"/>
          <w:sz w:val="24"/>
          <w:szCs w:val="24"/>
          <w:lang w:val="en-US" w:eastAsia="zh-CN"/>
        </w:rPr>
        <w:t>指标统计一览表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056"/>
        <w:gridCol w:w="1122"/>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指标分类</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感官性状指标</w:t>
            </w:r>
          </w:p>
        </w:tc>
        <w:tc>
          <w:tcPr>
            <w:tcW w:w="11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一般化学指标</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微生物</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指标</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毒理学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指标</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放射性</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指标</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常规指标</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4</w:t>
            </w:r>
          </w:p>
        </w:tc>
        <w:tc>
          <w:tcPr>
            <w:tcW w:w="11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16</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15</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rPr>
              <w:t>非常规指标</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p>
        </w:tc>
        <w:tc>
          <w:tcPr>
            <w:tcW w:w="11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54</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总计</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4</w:t>
            </w:r>
          </w:p>
        </w:tc>
        <w:tc>
          <w:tcPr>
            <w:tcW w:w="11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16</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2</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69</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w:t>
            </w:r>
          </w:p>
        </w:tc>
        <w:tc>
          <w:tcPr>
            <w:tcW w:w="121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93</w:t>
            </w:r>
          </w:p>
        </w:tc>
      </w:tr>
    </w:tbl>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1</w:t>
      </w:r>
      <w:r>
        <w:rPr>
          <w:rFonts w:hint="default" w:ascii="Times New Roman" w:hAnsi="Times New Roman" w:eastAsia="宋体" w:cs="Times New Roman"/>
          <w:sz w:val="24"/>
          <w:szCs w:val="24"/>
          <w:vertAlign w:val="baseline"/>
          <w:lang w:val="en-US" w:eastAsia="zh-CN"/>
        </w:rPr>
        <w:t>）中性地浸工艺</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pt-BR"/>
        </w:rPr>
      </w:pPr>
      <w:r>
        <w:rPr>
          <w:rFonts w:hint="default" w:ascii="Times New Roman" w:hAnsi="Times New Roman" w:eastAsia="宋体" w:cs="Times New Roman"/>
          <w:sz w:val="24"/>
          <w:szCs w:val="24"/>
        </w:rPr>
        <w:t>中性地浸</w:t>
      </w:r>
      <w:r>
        <w:rPr>
          <w:rFonts w:hint="default" w:ascii="Times New Roman" w:hAnsi="Times New Roman" w:eastAsia="宋体" w:cs="Times New Roman"/>
          <w:sz w:val="24"/>
          <w:szCs w:val="24"/>
          <w:vertAlign w:val="baseline"/>
          <w:lang w:val="en-US" w:eastAsia="zh-CN"/>
        </w:rPr>
        <w:t>工艺</w:t>
      </w:r>
      <w:r>
        <w:rPr>
          <w:rFonts w:hint="default" w:ascii="Times New Roman" w:hAnsi="Times New Roman" w:eastAsia="宋体" w:cs="Times New Roman"/>
          <w:sz w:val="24"/>
          <w:szCs w:val="24"/>
        </w:rPr>
        <w:t>主要适用于含矿层碳酸盐含量较高或地下水碳酸氢根浓度较高的砂岩铀矿床。中性浸出的浸出剂一般为CO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，在一定压力下，CO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易于溶解，在水中有较大的溶解度，溶解在水中的CO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在中性环境和O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的氧化作用下，将矿石中的四价铀氧化成后六价铀酰离子</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由此可见，中性浸出引入的</w:t>
      </w:r>
      <w:r>
        <w:rPr>
          <w:rFonts w:hint="default" w:ascii="Times New Roman" w:hAnsi="Times New Roman" w:eastAsia="宋体" w:cs="Times New Roman"/>
          <w:sz w:val="24"/>
          <w:szCs w:val="24"/>
          <w:lang w:val="pt-BR"/>
        </w:rPr>
        <w:t>CO</w:t>
      </w:r>
      <w:r>
        <w:rPr>
          <w:rFonts w:hint="default" w:ascii="Times New Roman" w:hAnsi="Times New Roman" w:eastAsia="宋体" w:cs="Times New Roman"/>
          <w:sz w:val="24"/>
          <w:szCs w:val="24"/>
          <w:vertAlign w:val="subscript"/>
          <w:lang w:val="pt-BR"/>
        </w:rPr>
        <w:t>3</w:t>
      </w:r>
      <w:r>
        <w:rPr>
          <w:rFonts w:hint="default" w:ascii="Times New Roman" w:hAnsi="Times New Roman" w:eastAsia="宋体" w:cs="Times New Roman"/>
          <w:sz w:val="24"/>
          <w:szCs w:val="24"/>
          <w:vertAlign w:val="superscript"/>
          <w:lang w:val="pt-BR"/>
        </w:rPr>
        <w:t>2-</w:t>
      </w:r>
      <w:r>
        <w:rPr>
          <w:rFonts w:hint="default" w:ascii="Times New Roman" w:hAnsi="Times New Roman" w:eastAsia="宋体" w:cs="Times New Roman"/>
          <w:sz w:val="24"/>
          <w:szCs w:val="24"/>
          <w:lang w:val="pt-BR"/>
        </w:rPr>
        <w:t>和HCO</w:t>
      </w:r>
      <w:r>
        <w:rPr>
          <w:rFonts w:hint="default" w:ascii="Times New Roman" w:hAnsi="Times New Roman" w:eastAsia="宋体" w:cs="Times New Roman"/>
          <w:sz w:val="24"/>
          <w:szCs w:val="24"/>
          <w:vertAlign w:val="subscript"/>
          <w:lang w:val="pt-BR"/>
        </w:rPr>
        <w:t>3</w:t>
      </w:r>
      <w:r>
        <w:rPr>
          <w:rFonts w:hint="default" w:ascii="Times New Roman" w:hAnsi="Times New Roman" w:eastAsia="宋体" w:cs="Times New Roman"/>
          <w:sz w:val="24"/>
          <w:szCs w:val="24"/>
          <w:vertAlign w:val="superscript"/>
          <w:lang w:val="pt-BR"/>
        </w:rPr>
        <w:t>-</w:t>
      </w:r>
      <w:r>
        <w:rPr>
          <w:rFonts w:hint="default" w:ascii="Times New Roman" w:hAnsi="Times New Roman" w:eastAsia="宋体" w:cs="Times New Roman"/>
          <w:sz w:val="24"/>
          <w:szCs w:val="24"/>
        </w:rPr>
        <w:t>等无明显环境危害</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也</w:t>
      </w:r>
      <w:r>
        <w:rPr>
          <w:rFonts w:hint="default" w:ascii="Times New Roman" w:hAnsi="Times New Roman" w:eastAsia="宋体" w:cs="Times New Roman"/>
          <w:sz w:val="24"/>
          <w:szCs w:val="24"/>
        </w:rPr>
        <w:t>无地下水标准，</w:t>
      </w:r>
      <w:r>
        <w:rPr>
          <w:rFonts w:hint="default" w:ascii="Times New Roman" w:hAnsi="Times New Roman" w:eastAsia="宋体" w:cs="Times New Roman"/>
          <w:sz w:val="24"/>
          <w:szCs w:val="24"/>
          <w:lang w:val="pt-BR"/>
        </w:rPr>
        <w:t>可不纳入地下水修复特征因子考量。</w:t>
      </w:r>
    </w:p>
    <w:p>
      <w:pPr>
        <w:pStyle w:val="2"/>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中性地浸水冶工艺流程为</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浸出液→过滤→吸附→淋洗→酸化→沉淀→压滤、洗涤→产品。淋洗剂一般为NaCl+NaHCO</w:t>
      </w:r>
      <w:r>
        <w:rPr>
          <w:rFonts w:hint="default" w:ascii="Times New Roman" w:hAnsi="Times New Roman" w:eastAsia="宋体" w:cs="Times New Roman"/>
          <w:sz w:val="24"/>
          <w:szCs w:val="24"/>
          <w:vertAlign w:val="subscript"/>
        </w:rPr>
        <w:t>3</w:t>
      </w:r>
      <w:r>
        <w:rPr>
          <w:rFonts w:hint="default" w:ascii="Times New Roman" w:hAnsi="Times New Roman" w:eastAsia="宋体" w:cs="Times New Roman"/>
          <w:sz w:val="24"/>
          <w:szCs w:val="24"/>
        </w:rPr>
        <w:t>，酸化剂一般为</w:t>
      </w:r>
      <w:r>
        <w:rPr>
          <w:rFonts w:hint="default" w:ascii="Times New Roman" w:hAnsi="Times New Roman" w:eastAsia="宋体" w:cs="Times New Roman"/>
          <w:kern w:val="0"/>
          <w:sz w:val="24"/>
          <w:szCs w:val="24"/>
        </w:rPr>
        <w:t>H</w:t>
      </w:r>
      <w:r>
        <w:rPr>
          <w:rFonts w:hint="default" w:ascii="Times New Roman" w:hAnsi="Times New Roman" w:eastAsia="宋体" w:cs="Times New Roman"/>
          <w:sz w:val="24"/>
          <w:szCs w:val="24"/>
        </w:rPr>
        <w:t>Cl，沉淀剂一般为NaOH。由于返回井场的浸出剂为吸附工序产生的吸附尾液，</w:t>
      </w:r>
      <w:r>
        <w:rPr>
          <w:rFonts w:hint="eastAsia" w:ascii="Times New Roman" w:cs="Times New Roman"/>
          <w:sz w:val="24"/>
          <w:szCs w:val="24"/>
          <w:lang w:val="en-US" w:eastAsia="zh-CN"/>
        </w:rPr>
        <w:t>基本</w:t>
      </w:r>
      <w:r>
        <w:rPr>
          <w:rFonts w:hint="default" w:ascii="Times New Roman" w:hAnsi="Times New Roman" w:eastAsia="宋体" w:cs="Times New Roman"/>
          <w:sz w:val="24"/>
          <w:szCs w:val="24"/>
        </w:rPr>
        <w:t>不涉及后续淋洗、转型、酸化、沉淀等工序，因此水冶过程一般不向含矿含水层</w:t>
      </w:r>
      <w:r>
        <w:rPr>
          <w:rFonts w:hint="eastAsia" w:ascii="Times New Roman" w:cs="Times New Roman"/>
          <w:sz w:val="24"/>
          <w:szCs w:val="24"/>
          <w:lang w:val="en-US" w:eastAsia="zh-CN"/>
        </w:rPr>
        <w:t>大量</w:t>
      </w:r>
      <w:r>
        <w:rPr>
          <w:rFonts w:hint="default" w:ascii="Times New Roman" w:hAnsi="Times New Roman" w:eastAsia="宋体" w:cs="Times New Roman"/>
          <w:sz w:val="24"/>
          <w:szCs w:val="24"/>
        </w:rPr>
        <w:t>引入其他物质。</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kern w:val="0"/>
          <w:sz w:val="24"/>
          <w:szCs w:val="24"/>
          <w:lang w:bidi="ar"/>
        </w:rPr>
      </w:pPr>
      <w:r>
        <w:rPr>
          <w:rFonts w:hint="default" w:ascii="Times New Roman" w:hAnsi="Times New Roman" w:eastAsia="宋体" w:cs="Times New Roman"/>
          <w:sz w:val="24"/>
          <w:szCs w:val="24"/>
          <w:lang w:val="pt-BR"/>
        </w:rPr>
        <w:t>中性浸出过程中，向含矿层注入浸出剂为</w:t>
      </w:r>
      <w:r>
        <w:rPr>
          <w:rFonts w:hint="default" w:ascii="Times New Roman" w:hAnsi="Times New Roman" w:eastAsia="宋体" w:cs="Times New Roman"/>
          <w:sz w:val="24"/>
          <w:szCs w:val="24"/>
        </w:rPr>
        <w:t>CO</w:t>
      </w:r>
      <w:r>
        <w:rPr>
          <w:rFonts w:hint="default" w:ascii="Times New Roman" w:hAnsi="Times New Roman" w:eastAsia="宋体" w:cs="Times New Roman"/>
          <w:sz w:val="24"/>
          <w:szCs w:val="24"/>
          <w:vertAlign w:val="subscript"/>
        </w:rPr>
        <w:t xml:space="preserve">2 </w:t>
      </w:r>
      <w:r>
        <w:rPr>
          <w:rFonts w:hint="default" w:ascii="Times New Roman" w:hAnsi="Times New Roman" w:eastAsia="宋体" w:cs="Times New Roman"/>
          <w:sz w:val="24"/>
          <w:szCs w:val="24"/>
        </w:rPr>
        <w:t>+O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，部分矿石组分也会发生氧化溶解。如黄铁矿会在氧气和水的作用下生</w:t>
      </w:r>
      <w:r>
        <w:rPr>
          <w:rFonts w:hint="eastAsia" w:ascii="Times New Roman" w:hAnsi="Times New Roman" w:eastAsia="宋体" w:cs="Times New Roman"/>
          <w:sz w:val="24"/>
          <w:szCs w:val="24"/>
          <w:lang w:val="en-US" w:eastAsia="zh-CN"/>
        </w:rPr>
        <w:t>成</w:t>
      </w:r>
      <w:r>
        <w:rPr>
          <w:rFonts w:hint="default" w:ascii="Times New Roman" w:hAnsi="Times New Roman" w:eastAsia="宋体" w:cs="Times New Roman"/>
          <w:sz w:val="24"/>
          <w:szCs w:val="24"/>
        </w:rPr>
        <w:t>Fe和</w:t>
      </w:r>
      <w:r>
        <w:rPr>
          <w:rFonts w:hint="default" w:ascii="Times New Roman" w:hAnsi="Times New Roman" w:eastAsia="宋体" w:cs="Times New Roman"/>
          <w:sz w:val="24"/>
          <w:szCs w:val="24"/>
          <w:lang w:val="pt-BR"/>
        </w:rPr>
        <w:t>SO</w:t>
      </w:r>
      <w:r>
        <w:rPr>
          <w:rFonts w:hint="default" w:ascii="Times New Roman" w:hAnsi="Times New Roman" w:eastAsia="宋体" w:cs="Times New Roman"/>
          <w:sz w:val="24"/>
          <w:szCs w:val="24"/>
          <w:vertAlign w:val="subscript"/>
          <w:lang w:val="pt-BR"/>
        </w:rPr>
        <w:t>4</w:t>
      </w:r>
      <w:r>
        <w:rPr>
          <w:rFonts w:hint="default" w:ascii="Times New Roman" w:hAnsi="Times New Roman" w:eastAsia="宋体" w:cs="Times New Roman"/>
          <w:sz w:val="24"/>
          <w:szCs w:val="24"/>
          <w:vertAlign w:val="superscript"/>
          <w:lang w:val="pt-BR"/>
        </w:rPr>
        <w:t>2-</w:t>
      </w:r>
      <w:r>
        <w:rPr>
          <w:rFonts w:hint="default" w:ascii="Times New Roman" w:hAnsi="Times New Roman" w:eastAsia="宋体" w:cs="Times New Roman"/>
          <w:sz w:val="24"/>
          <w:szCs w:val="24"/>
          <w:lang w:val="pt-BR"/>
        </w:rPr>
        <w:t>，碳酸盐矿物会在CO</w:t>
      </w:r>
      <w:r>
        <w:rPr>
          <w:rFonts w:hint="default" w:ascii="Times New Roman" w:hAnsi="Times New Roman" w:eastAsia="宋体" w:cs="Times New Roman"/>
          <w:sz w:val="24"/>
          <w:szCs w:val="24"/>
          <w:vertAlign w:val="subscript"/>
          <w:lang w:val="pt-BR"/>
        </w:rPr>
        <w:t>2</w:t>
      </w:r>
      <w:r>
        <w:rPr>
          <w:rFonts w:hint="default" w:ascii="Times New Roman" w:hAnsi="Times New Roman" w:eastAsia="宋体" w:cs="Times New Roman"/>
          <w:sz w:val="24"/>
          <w:szCs w:val="24"/>
          <w:lang w:val="pt-BR"/>
        </w:rPr>
        <w:t>的作用下产生Ca和Mg。地下水处于中性环境</w:t>
      </w:r>
      <w:r>
        <w:rPr>
          <w:rFonts w:hint="eastAsia" w:ascii="Times New Roman" w:hAnsi="Times New Roman" w:eastAsia="宋体" w:cs="Times New Roman"/>
          <w:sz w:val="24"/>
          <w:szCs w:val="24"/>
          <w:lang w:val="en-US" w:eastAsia="zh-CN"/>
        </w:rPr>
        <w:t>时</w:t>
      </w:r>
      <w:r>
        <w:rPr>
          <w:rFonts w:hint="default" w:ascii="Times New Roman" w:hAnsi="Times New Roman" w:eastAsia="宋体" w:cs="Times New Roman"/>
          <w:sz w:val="24"/>
          <w:szCs w:val="24"/>
          <w:lang w:val="pt-BR"/>
        </w:rPr>
        <w:t>，矿石中元素溶解反应相对酸法较弱</w:t>
      </w:r>
      <w:r>
        <w:rPr>
          <w:rFonts w:hint="default" w:ascii="Times New Roman" w:hAnsi="Times New Roman" w:eastAsia="宋体" w:cs="Times New Roman"/>
          <w:sz w:val="24"/>
          <w:szCs w:val="24"/>
          <w:lang w:val="pt-BR" w:eastAsia="zh-CN"/>
        </w:rPr>
        <w:t>，</w:t>
      </w:r>
      <w:r>
        <w:rPr>
          <w:rFonts w:hint="default" w:ascii="Times New Roman" w:hAnsi="Times New Roman" w:eastAsia="宋体" w:cs="Times New Roman"/>
          <w:kern w:val="0"/>
          <w:sz w:val="24"/>
          <w:szCs w:val="24"/>
          <w:lang w:bidi="ar"/>
        </w:rPr>
        <w:t>但仍存在特定的环境污染风险。在中性条件下，大多数重金属元素的溶解度显著降低，倾向于形成氢氧化物沉淀或碳酸盐结合态，迁移能力相对较弱。然而，某些元素如</w:t>
      </w:r>
      <w:r>
        <w:rPr>
          <w:rFonts w:hint="eastAsia" w:ascii="Times New Roman" w:hAnsi="Times New Roman" w:eastAsia="宋体" w:cs="Times New Roman"/>
          <w:kern w:val="0"/>
          <w:sz w:val="24"/>
          <w:szCs w:val="24"/>
          <w:lang w:val="en-US" w:eastAsia="zh-CN" w:bidi="ar"/>
        </w:rPr>
        <w:t>Se</w:t>
      </w:r>
      <w:r>
        <w:rPr>
          <w:rFonts w:hint="default" w:ascii="Times New Roman" w:hAnsi="Times New Roman" w:eastAsia="宋体" w:cs="Times New Roman"/>
          <w:kern w:val="0"/>
          <w:sz w:val="24"/>
          <w:szCs w:val="24"/>
          <w:lang w:bidi="ar"/>
        </w:rPr>
        <w:t>在中性至碱性条件下</w:t>
      </w:r>
      <w:r>
        <w:rPr>
          <w:rFonts w:hint="eastAsia" w:ascii="Times New Roman" w:hAnsi="Times New Roman" w:eastAsia="宋体" w:cs="Times New Roman"/>
          <w:kern w:val="0"/>
          <w:sz w:val="24"/>
          <w:szCs w:val="24"/>
          <w:lang w:val="en-US" w:eastAsia="zh-CN" w:bidi="ar"/>
        </w:rPr>
        <w:t>能够</w:t>
      </w:r>
      <w:r>
        <w:rPr>
          <w:rFonts w:hint="default" w:ascii="Times New Roman" w:hAnsi="Times New Roman" w:eastAsia="宋体" w:cs="Times New Roman"/>
          <w:kern w:val="0"/>
          <w:sz w:val="24"/>
          <w:szCs w:val="24"/>
          <w:lang w:bidi="ar"/>
        </w:rPr>
        <w:t>形成可溶性的氧阴离子或碳酸络合物，保持</w:t>
      </w:r>
      <w:r>
        <w:rPr>
          <w:rFonts w:hint="eastAsia" w:ascii="Times New Roman" w:hAnsi="Times New Roman" w:eastAsia="宋体" w:cs="Times New Roman"/>
          <w:kern w:val="0"/>
          <w:sz w:val="24"/>
          <w:szCs w:val="24"/>
          <w:lang w:val="en-US" w:eastAsia="zh-CN" w:bidi="ar"/>
        </w:rPr>
        <w:t>一定</w:t>
      </w:r>
      <w:r>
        <w:rPr>
          <w:rFonts w:hint="default" w:ascii="Times New Roman" w:hAnsi="Times New Roman" w:eastAsia="宋体" w:cs="Times New Roman"/>
          <w:kern w:val="0"/>
          <w:sz w:val="24"/>
          <w:szCs w:val="24"/>
          <w:lang w:bidi="ar"/>
        </w:rPr>
        <w:t>的溶解度和迁移能力。</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kern w:val="0"/>
          <w:sz w:val="24"/>
          <w:szCs w:val="24"/>
          <w:lang w:val="en-US" w:eastAsia="zh-CN" w:bidi="ar"/>
        </w:rPr>
        <w:sectPr>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宋体" w:cs="Times New Roman"/>
          <w:kern w:val="0"/>
          <w:sz w:val="24"/>
          <w:szCs w:val="24"/>
          <w:lang w:val="en-US" w:eastAsia="zh-CN" w:bidi="ar"/>
        </w:rPr>
        <w:t>2026年初，通辽铀业对钱Ⅱ块C3采区47个钻孔开展了地下水现场源项调查取样分析（11个钻孔为多因子分析），监测结果与</w:t>
      </w:r>
      <w:r>
        <w:rPr>
          <w:rFonts w:hint="default" w:ascii="Times New Roman" w:hAnsi="Times New Roman" w:eastAsia="宋体" w:cs="Times New Roman"/>
          <w:kern w:val="0"/>
          <w:sz w:val="24"/>
          <w:szCs w:val="24"/>
          <w:lang w:val="en-US" w:eastAsia="zh-CN" w:bidi="ar"/>
        </w:rPr>
        <w:t>GB/T14848</w:t>
      </w:r>
      <w:r>
        <w:rPr>
          <w:rFonts w:hint="eastAsia" w:ascii="Times New Roman" w:hAnsi="Times New Roman" w:eastAsia="宋体" w:cs="Times New Roman"/>
          <w:kern w:val="0"/>
          <w:sz w:val="24"/>
          <w:szCs w:val="24"/>
          <w:lang w:val="en-US" w:eastAsia="zh-CN" w:bidi="ar"/>
        </w:rPr>
        <w:t>报批稿中Ⅳ类限值要求比较，显示总硬度、TDS、</w:t>
      </w:r>
      <w:r>
        <w:rPr>
          <w:rFonts w:hint="eastAsia" w:ascii="Times New Roman" w:hAnsi="Times New Roman" w:eastAsia="宋体" w:cs="Times New Roman"/>
          <w:kern w:val="0"/>
          <w:sz w:val="24"/>
          <w:szCs w:val="24"/>
          <w:lang w:bidi="ar"/>
        </w:rPr>
        <w:t>硫酸盐、</w:t>
      </w:r>
      <w:r>
        <w:rPr>
          <w:rFonts w:hint="eastAsia" w:ascii="Times New Roman" w:hAnsi="Times New Roman" w:eastAsia="宋体" w:cs="Times New Roman"/>
          <w:kern w:val="0"/>
          <w:sz w:val="24"/>
          <w:szCs w:val="24"/>
          <w:lang w:val="en-US" w:eastAsia="zh-CN" w:bidi="ar"/>
        </w:rPr>
        <w:t>氯化物</w:t>
      </w:r>
      <w:r>
        <w:rPr>
          <w:rFonts w:hint="eastAsia" w:ascii="Times New Roman" w:hAnsi="Times New Roman" w:eastAsia="宋体" w:cs="Times New Roman"/>
          <w:kern w:val="0"/>
          <w:sz w:val="24"/>
          <w:szCs w:val="24"/>
          <w:lang w:bidi="ar"/>
        </w:rPr>
        <w:t>、</w:t>
      </w:r>
      <w:r>
        <w:rPr>
          <w:rFonts w:hint="eastAsia" w:ascii="Times New Roman" w:hAnsi="Times New Roman" w:eastAsia="宋体" w:cs="Times New Roman"/>
          <w:kern w:val="0"/>
          <w:sz w:val="24"/>
          <w:szCs w:val="24"/>
          <w:lang w:val="en-US" w:eastAsia="zh-CN" w:bidi="ar"/>
        </w:rPr>
        <w:t>铁、钠、氟化物、硒等8项指标超标。其中总硬度、铁超标数量均只有1个，超标比例很低，超标倍数也很小；氟化物的75分位值基本达标，整体超标比例与超标倍数都比较低；钠的超标比例虽然高，但当地本底水平很高，在1000mg/L左右。TDS、硫酸盐、氯化物、硒超标比例与超标倍数都比较高。源项调查超标指标数据汇总情况见表5。</w:t>
      </w:r>
    </w:p>
    <w:p>
      <w:pPr>
        <w:pStyle w:val="2"/>
        <w:ind w:left="0" w:leftChars="0" w:firstLine="0" w:firstLineChars="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表</w:t>
      </w:r>
      <w:r>
        <w:rPr>
          <w:rFonts w:hint="eastAsia" w:ascii="Times New Roman" w:cs="Times New Roman"/>
          <w:sz w:val="24"/>
          <w:szCs w:val="24"/>
          <w:highlight w:val="none"/>
          <w:lang w:val="en-US" w:eastAsia="zh-CN"/>
        </w:rPr>
        <w:t>5</w:t>
      </w:r>
      <w:r>
        <w:rPr>
          <w:rFonts w:hint="eastAsia" w:ascii="Times New Roman" w:hAnsi="Times New Roman" w:eastAsia="宋体" w:cs="Times New Roman"/>
          <w:sz w:val="24"/>
          <w:szCs w:val="24"/>
          <w:highlight w:val="none"/>
          <w:lang w:val="en-US" w:eastAsia="zh-CN"/>
        </w:rPr>
        <w:t xml:space="preserve">  钱Ⅱ块C3采区现场源项调查</w:t>
      </w:r>
      <w:r>
        <w:rPr>
          <w:rFonts w:hint="eastAsia" w:ascii="Times New Roman" w:cs="Times New Roman"/>
          <w:sz w:val="24"/>
          <w:szCs w:val="24"/>
          <w:highlight w:val="none"/>
          <w:lang w:val="en-US" w:eastAsia="zh-CN"/>
        </w:rPr>
        <w:t>超标非</w:t>
      </w:r>
      <w:r>
        <w:rPr>
          <w:rFonts w:hint="eastAsia" w:ascii="Times New Roman" w:hAnsi="Times New Roman" w:eastAsia="宋体" w:cs="Times New Roman"/>
          <w:sz w:val="24"/>
          <w:szCs w:val="24"/>
          <w:highlight w:val="none"/>
          <w:lang w:val="en-US" w:eastAsia="zh-CN"/>
        </w:rPr>
        <w:t>放射性指标汇总表</w:t>
      </w:r>
    </w:p>
    <w:tbl>
      <w:tblPr>
        <w:tblStyle w:val="10"/>
        <w:tblW w:w="50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858"/>
        <w:gridCol w:w="745"/>
        <w:gridCol w:w="1625"/>
        <w:gridCol w:w="987"/>
        <w:gridCol w:w="1113"/>
        <w:gridCol w:w="1062"/>
        <w:gridCol w:w="1125"/>
        <w:gridCol w:w="1025"/>
        <w:gridCol w:w="1018"/>
        <w:gridCol w:w="789"/>
        <w:gridCol w:w="745"/>
        <w:gridCol w:w="120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序号</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指标</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rPr>
              <w:t>监测数量</w:t>
            </w:r>
            <w:r>
              <w:rPr>
                <w:rFonts w:hint="default" w:ascii="Times New Roman" w:hAnsi="Times New Roman" w:eastAsia="宋体" w:cs="Times New Roman"/>
                <w:b w:val="0"/>
                <w:bCs w:val="0"/>
                <w:szCs w:val="21"/>
                <w:lang w:eastAsia="zh-CN"/>
              </w:rPr>
              <w:t>（</w:t>
            </w:r>
            <w:r>
              <w:rPr>
                <w:rFonts w:hint="default" w:ascii="Times New Roman" w:hAnsi="Times New Roman" w:eastAsia="宋体" w:cs="Times New Roman"/>
                <w:b w:val="0"/>
                <w:bCs w:val="0"/>
                <w:szCs w:val="21"/>
              </w:rPr>
              <w:t>个</w:t>
            </w:r>
            <w:r>
              <w:rPr>
                <w:rFonts w:hint="default" w:ascii="Times New Roman" w:hAnsi="Times New Roman" w:eastAsia="宋体" w:cs="Times New Roman"/>
                <w:b w:val="0"/>
                <w:bCs w:val="0"/>
                <w:szCs w:val="21"/>
                <w:lang w:eastAsia="zh-CN"/>
              </w:rPr>
              <w:t>）</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rPr>
            </w:pPr>
            <w:r>
              <w:rPr>
                <w:rFonts w:hint="default" w:ascii="Times New Roman" w:hAnsi="Times New Roman" w:eastAsia="宋体" w:cs="Times New Roman"/>
                <w:b w:val="0"/>
                <w:bCs w:val="0"/>
              </w:rPr>
              <w:t>范围值</w:t>
            </w:r>
          </w:p>
          <w:p>
            <w:pPr>
              <w:jc w:val="cente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平均值</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rPr>
            </w:pPr>
            <w:r>
              <w:rPr>
                <w:rFonts w:hint="default" w:ascii="Times New Roman" w:hAnsi="Times New Roman" w:eastAsia="宋体" w:cs="Times New Roman"/>
                <w:b w:val="0"/>
                <w:bCs w:val="0"/>
                <w:lang w:val="en-US" w:eastAsia="zh-CN"/>
              </w:rPr>
              <w:t>25</w:t>
            </w:r>
            <w:r>
              <w:rPr>
                <w:rFonts w:hint="default" w:ascii="Times New Roman" w:hAnsi="Times New Roman" w:eastAsia="宋体" w:cs="Times New Roman"/>
                <w:b w:val="0"/>
                <w:bCs w:val="0"/>
              </w:rPr>
              <w:t>分位值</w:t>
            </w:r>
          </w:p>
          <w:p>
            <w:pPr>
              <w:rPr>
                <w:rFonts w:hint="default" w:ascii="Times New Roman" w:hAnsi="Times New Roman" w:eastAsia="宋体" w:cs="Times New Roman"/>
                <w:b w:val="0"/>
                <w:bCs w:val="0"/>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50分位值</w:t>
            </w:r>
          </w:p>
          <w:p>
            <w:pP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rPr>
            </w:pPr>
            <w:r>
              <w:rPr>
                <w:rFonts w:hint="default" w:ascii="Times New Roman" w:hAnsi="Times New Roman" w:eastAsia="宋体" w:cs="Times New Roman"/>
                <w:b w:val="0"/>
                <w:bCs w:val="0"/>
                <w:lang w:val="en-US" w:eastAsia="zh-CN"/>
              </w:rPr>
              <w:t>75</w:t>
            </w:r>
            <w:r>
              <w:rPr>
                <w:rFonts w:hint="default" w:ascii="Times New Roman" w:hAnsi="Times New Roman" w:eastAsia="宋体" w:cs="Times New Roman"/>
                <w:b w:val="0"/>
                <w:bCs w:val="0"/>
              </w:rPr>
              <w:t>分位值</w:t>
            </w:r>
          </w:p>
          <w:p>
            <w:pPr>
              <w:rPr>
                <w:rFonts w:hint="default" w:ascii="Times New Roman" w:hAnsi="Times New Roman" w:eastAsia="宋体" w:cs="Times New Roman"/>
                <w:b w:val="0"/>
                <w:bCs w:val="0"/>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标准值</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本底值</w:t>
            </w:r>
          </w:p>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超标</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数量</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个</w:t>
            </w:r>
            <w:r>
              <w:rPr>
                <w:rFonts w:hint="default" w:ascii="Times New Roman" w:hAnsi="Times New Roman" w:eastAsia="宋体" w:cs="Times New Roman"/>
                <w:b w:val="0"/>
                <w:bCs w:val="0"/>
                <w:szCs w:val="21"/>
                <w:lang w:val="en-US" w:eastAsia="zh-CN"/>
              </w:rPr>
              <w:t>）</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超标</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比例</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w:t>
            </w:r>
            <w:r>
              <w:rPr>
                <w:rFonts w:hint="default" w:ascii="Times New Roman" w:hAnsi="Times New Roman" w:eastAsia="宋体" w:cs="Times New Roman"/>
                <w:b w:val="0"/>
                <w:bCs w:val="0"/>
                <w:szCs w:val="21"/>
                <w:lang w:val="en-US" w:eastAsia="zh-CN"/>
              </w:rPr>
              <w:t>）</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最大超</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标倍数</w:t>
            </w:r>
          </w:p>
          <w:p>
            <w:pPr>
              <w:pStyle w:val="2"/>
              <w:widowControl w:val="0"/>
              <w:ind w:firstLine="0" w:firstLine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szCs w:val="21"/>
                <w:lang w:eastAsia="zh-CN"/>
              </w:rPr>
              <w:t>（</w:t>
            </w:r>
            <w:r>
              <w:rPr>
                <w:rFonts w:hint="default" w:ascii="Times New Roman" w:hAnsi="Times New Roman" w:eastAsia="宋体" w:cs="Times New Roman"/>
                <w:b w:val="0"/>
                <w:bCs w:val="0"/>
                <w:szCs w:val="21"/>
              </w:rPr>
              <w:t>倍</w:t>
            </w:r>
            <w:r>
              <w:rPr>
                <w:rFonts w:hint="default" w:ascii="Times New Roman" w:hAnsi="Times New Roman" w:eastAsia="宋体" w:cs="Times New Roman"/>
                <w:b w:val="0"/>
                <w:bCs w:val="0"/>
                <w:szCs w:val="21"/>
                <w:lang w:eastAsia="zh-CN"/>
              </w:rPr>
              <w:t>）</w:t>
            </w:r>
          </w:p>
        </w:tc>
        <w:tc>
          <w:tcPr>
            <w:tcW w:w="53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总硬度</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11</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583-998</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742</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645.5</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753</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810.5</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850</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9</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0.17</w:t>
            </w:r>
          </w:p>
        </w:tc>
        <w:tc>
          <w:tcPr>
            <w:tcW w:w="53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 w:val="21"/>
                <w:szCs w:val="21"/>
                <w:vertAlign w:val="baseline"/>
                <w:lang w:val="en-US" w:eastAsia="zh-CN"/>
              </w:rPr>
              <w:t>1个超标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2</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TDS</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11</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5060-5350</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5210</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5165</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5220</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5260</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2000</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2310</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11</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100</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1.68</w:t>
            </w:r>
          </w:p>
        </w:tc>
        <w:tc>
          <w:tcPr>
            <w:tcW w:w="536" w:type="pct"/>
            <w:vAlign w:val="center"/>
          </w:tcPr>
          <w:p>
            <w:pPr>
              <w:pStyle w:val="2"/>
              <w:widowControl w:val="0"/>
              <w:ind w:firstLine="0" w:firstLineChars="0"/>
              <w:jc w:val="center"/>
              <w:rPr>
                <w:rFonts w:hint="default" w:ascii="Times New Roman" w:hAnsi="Times New Roman" w:eastAsia="宋体" w:cs="Times New Roman"/>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3</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硫酸盐</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47</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449</w:t>
            </w:r>
            <w:r>
              <w:rPr>
                <w:rFonts w:hint="default" w:ascii="Times New Roman" w:hAnsi="Times New Roman" w:eastAsia="宋体" w:cs="Times New Roman"/>
                <w:b w:val="0"/>
                <w:bCs w:val="0"/>
                <w:szCs w:val="21"/>
              </w:rPr>
              <w:t>-1700</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1402</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1335</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1400</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1525</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500</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458.7</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szCs w:val="21"/>
              </w:rPr>
              <w:t>4</w:t>
            </w:r>
            <w:r>
              <w:rPr>
                <w:rFonts w:hint="default" w:ascii="Times New Roman" w:hAnsi="Times New Roman" w:eastAsia="宋体" w:cs="Times New Roman"/>
                <w:b w:val="0"/>
                <w:bCs w:val="0"/>
                <w:szCs w:val="21"/>
                <w:lang w:val="en-US" w:eastAsia="zh-CN"/>
              </w:rPr>
              <w:t>6</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98</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2.4</w:t>
            </w:r>
          </w:p>
        </w:tc>
        <w:tc>
          <w:tcPr>
            <w:tcW w:w="536" w:type="pct"/>
            <w:vAlign w:val="center"/>
          </w:tcPr>
          <w:p>
            <w:pPr>
              <w:pStyle w:val="2"/>
              <w:widowControl w:val="0"/>
              <w:ind w:firstLine="0" w:firstLineChars="0"/>
              <w:jc w:val="center"/>
              <w:rPr>
                <w:rFonts w:hint="default" w:ascii="Times New Roman" w:hAnsi="Times New Roman" w:eastAsia="宋体" w:cs="Times New Roman"/>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4</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氯化物</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47</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169-905</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716</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679</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715</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790</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350</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402.3</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szCs w:val="21"/>
              </w:rPr>
              <w:t>4</w:t>
            </w:r>
            <w:r>
              <w:rPr>
                <w:rFonts w:hint="default" w:ascii="Times New Roman" w:hAnsi="Times New Roman" w:eastAsia="宋体" w:cs="Times New Roman"/>
                <w:b w:val="0"/>
                <w:bCs w:val="0"/>
                <w:szCs w:val="21"/>
                <w:lang w:val="en-US" w:eastAsia="zh-CN"/>
              </w:rPr>
              <w:t>6</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98</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1.59</w:t>
            </w:r>
          </w:p>
        </w:tc>
        <w:tc>
          <w:tcPr>
            <w:tcW w:w="536" w:type="pct"/>
            <w:vAlign w:val="center"/>
          </w:tcPr>
          <w:p>
            <w:pPr>
              <w:pStyle w:val="2"/>
              <w:widowControl w:val="0"/>
              <w:ind w:firstLine="0" w:firstLineChars="0"/>
              <w:jc w:val="center"/>
              <w:rPr>
                <w:rFonts w:hint="default" w:ascii="Times New Roman" w:hAnsi="Times New Roman" w:eastAsia="宋体" w:cs="Times New Roman"/>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铁</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47</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0.0046-7.51</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0.45</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0.01</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0.12</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0.27</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4.5</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0.53</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szCs w:val="21"/>
                <w:lang w:val="en-US" w:eastAsia="zh-CN"/>
              </w:rPr>
              <w:t>1</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szCs w:val="21"/>
                <w:lang w:val="en-US" w:eastAsia="zh-CN"/>
              </w:rPr>
              <w:t>2</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0.67</w:t>
            </w:r>
          </w:p>
        </w:tc>
        <w:tc>
          <w:tcPr>
            <w:tcW w:w="536" w:type="pct"/>
            <w:vAlign w:val="center"/>
          </w:tcPr>
          <w:p>
            <w:pPr>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 w:val="21"/>
                <w:szCs w:val="21"/>
                <w:vertAlign w:val="baseline"/>
                <w:lang w:val="en-US" w:eastAsia="zh-CN"/>
              </w:rPr>
              <w:t>1个超标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6</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钠</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47</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335-1760</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1343</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1310</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1360</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1410</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400</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965.5</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46</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98</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3.40</w:t>
            </w:r>
          </w:p>
        </w:tc>
        <w:tc>
          <w:tcPr>
            <w:tcW w:w="536" w:type="pct"/>
            <w:vAlign w:val="center"/>
          </w:tcPr>
          <w:p>
            <w:pPr>
              <w:jc w:val="center"/>
              <w:rPr>
                <w:rFonts w:hint="default" w:ascii="Times New Roman" w:hAnsi="Times New Roman" w:eastAsia="宋体" w:cs="Times New Roman"/>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7</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氟化物</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47</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rPr>
              <w:t>0.</w:t>
            </w:r>
            <w:r>
              <w:rPr>
                <w:rFonts w:hint="default" w:ascii="Times New Roman" w:hAnsi="Times New Roman" w:eastAsia="宋体" w:cs="Times New Roman"/>
                <w:b w:val="0"/>
                <w:bCs w:val="0"/>
                <w:szCs w:val="21"/>
                <w:highlight w:val="none"/>
                <w:lang w:val="en-US" w:eastAsia="zh-CN"/>
              </w:rPr>
              <w:t>72</w:t>
            </w:r>
            <w:r>
              <w:rPr>
                <w:rFonts w:hint="default" w:ascii="Times New Roman" w:hAnsi="Times New Roman" w:eastAsia="宋体" w:cs="Times New Roman"/>
                <w:b w:val="0"/>
                <w:bCs w:val="0"/>
                <w:szCs w:val="21"/>
                <w:highlight w:val="none"/>
              </w:rPr>
              <w:t>-</w:t>
            </w:r>
            <w:r>
              <w:rPr>
                <w:rFonts w:hint="default" w:ascii="Times New Roman" w:hAnsi="Times New Roman" w:eastAsia="宋体" w:cs="Times New Roman"/>
                <w:b w:val="0"/>
                <w:bCs w:val="0"/>
                <w:szCs w:val="21"/>
                <w:highlight w:val="none"/>
                <w:lang w:val="en-US" w:eastAsia="zh-CN"/>
              </w:rPr>
              <w:t>3.46</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1.69</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1.14</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1.79</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2.05</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2</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0.96</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14</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30</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0.73</w:t>
            </w:r>
          </w:p>
        </w:tc>
        <w:tc>
          <w:tcPr>
            <w:tcW w:w="536" w:type="pct"/>
            <w:vAlign w:val="center"/>
          </w:tcPr>
          <w:p>
            <w:pPr>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sz w:val="21"/>
                <w:szCs w:val="21"/>
                <w:highlight w:val="none"/>
                <w:vertAlign w:val="baseline"/>
                <w:lang w:val="en-US" w:eastAsia="zh-CN"/>
              </w:rPr>
              <w:t>1个＞3mg/L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8</w:t>
            </w:r>
          </w:p>
        </w:tc>
        <w:tc>
          <w:tcPr>
            <w:tcW w:w="30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硒</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47</w:t>
            </w:r>
          </w:p>
        </w:tc>
        <w:tc>
          <w:tcPr>
            <w:tcW w:w="570" w:type="pct"/>
            <w:vAlign w:val="center"/>
          </w:tcPr>
          <w:p>
            <w:pPr>
              <w:pStyle w:val="2"/>
              <w:widowControl w:val="0"/>
              <w:ind w:firstLine="0" w:firstLine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szCs w:val="21"/>
                <w:highlight w:val="none"/>
              </w:rPr>
              <w:t>0.004-0.636</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0.15</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0.07</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0.09</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0.26</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0.1</w:t>
            </w:r>
          </w:p>
        </w:tc>
        <w:tc>
          <w:tcPr>
            <w:tcW w:w="357" w:type="pct"/>
            <w:vAlign w:val="center"/>
          </w:tcPr>
          <w:p>
            <w:pPr>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23</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49</w:t>
            </w:r>
          </w:p>
        </w:tc>
        <w:tc>
          <w:tcPr>
            <w:tcW w:w="4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5.36</w:t>
            </w:r>
          </w:p>
        </w:tc>
        <w:tc>
          <w:tcPr>
            <w:tcW w:w="536" w:type="pct"/>
            <w:vAlign w:val="center"/>
          </w:tcPr>
          <w:p>
            <w:pPr>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sz w:val="21"/>
                <w:szCs w:val="21"/>
                <w:highlight w:val="none"/>
                <w:vertAlign w:val="baseline"/>
                <w:lang w:val="en-US" w:eastAsia="zh-CN"/>
              </w:rPr>
              <w:t>1个＞0.4mg/L</w:t>
            </w:r>
          </w:p>
        </w:tc>
      </w:tr>
    </w:tbl>
    <w:p>
      <w:pPr>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Cs w:val="21"/>
          <w:lang w:val="en-US" w:eastAsia="zh-CN"/>
        </w:rPr>
        <w:t>注：本底值通过</w:t>
      </w:r>
      <w:r>
        <w:rPr>
          <w:rFonts w:hint="eastAsia" w:ascii="宋体" w:hAnsi="宋体" w:eastAsia="宋体" w:cs="宋体"/>
          <w:b w:val="0"/>
          <w:bCs w:val="0"/>
          <w:szCs w:val="21"/>
          <w:lang w:val="zh-CN" w:eastAsia="zh-CN"/>
        </w:rPr>
        <w:t>历史资料调查分析</w:t>
      </w:r>
      <w:r>
        <w:rPr>
          <w:rFonts w:hint="eastAsia" w:ascii="宋体" w:hAnsi="宋体" w:eastAsia="宋体" w:cs="宋体"/>
          <w:b w:val="0"/>
          <w:bCs w:val="0"/>
          <w:szCs w:val="21"/>
          <w:lang w:val="en-US" w:eastAsia="zh-CN"/>
        </w:rPr>
        <w:t>得到。</w:t>
      </w:r>
    </w:p>
    <w:p>
      <w:pPr>
        <w:pStyle w:val="2"/>
        <w:rPr>
          <w:rFonts w:hint="eastAsia" w:ascii="Times New Roman" w:hAnsi="Times New Roman" w:eastAsia="宋体" w:cs="Times New Roman"/>
          <w:b w:val="0"/>
          <w:bCs w:val="0"/>
          <w:sz w:val="28"/>
          <w:szCs w:val="28"/>
          <w:highlight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2</w:t>
      </w:r>
      <w:r>
        <w:rPr>
          <w:rFonts w:hint="default" w:ascii="Times New Roman" w:hAnsi="Times New Roman" w:eastAsia="宋体" w:cs="Times New Roman"/>
          <w:sz w:val="24"/>
          <w:szCs w:val="24"/>
          <w:vertAlign w:val="baseline"/>
          <w:lang w:val="en-US" w:eastAsia="zh-CN"/>
        </w:rPr>
        <w:t>）</w:t>
      </w:r>
      <w:r>
        <w:rPr>
          <w:rFonts w:hint="eastAsia" w:ascii="Times New Roman" w:hAnsi="Times New Roman" w:eastAsia="宋体" w:cs="Times New Roman"/>
          <w:sz w:val="24"/>
          <w:szCs w:val="24"/>
          <w:vertAlign w:val="baseline"/>
          <w:lang w:val="en-US" w:eastAsia="zh-CN"/>
        </w:rPr>
        <w:t>酸法地浸工艺</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pt-BR"/>
        </w:rPr>
      </w:pPr>
      <w:r>
        <w:rPr>
          <w:rFonts w:hint="default" w:ascii="Times New Roman" w:hAnsi="Times New Roman" w:eastAsia="宋体" w:cs="Times New Roman"/>
          <w:sz w:val="24"/>
          <w:szCs w:val="24"/>
        </w:rPr>
        <w:t>酸法地浸</w:t>
      </w:r>
      <w:r>
        <w:rPr>
          <w:rFonts w:hint="eastAsia" w:ascii="Times New Roman" w:hAnsi="Times New Roman" w:eastAsia="宋体" w:cs="Times New Roman"/>
          <w:sz w:val="24"/>
          <w:szCs w:val="24"/>
          <w:vertAlign w:val="baseline"/>
          <w:lang w:val="en-US" w:eastAsia="zh-CN"/>
        </w:rPr>
        <w:t>工艺</w:t>
      </w:r>
      <w:r>
        <w:rPr>
          <w:rFonts w:hint="default" w:ascii="Times New Roman" w:hAnsi="Times New Roman" w:eastAsia="宋体" w:cs="Times New Roman"/>
          <w:sz w:val="24"/>
          <w:szCs w:val="24"/>
        </w:rPr>
        <w:t>主要适用于碳酸盐含量较低的砂岩铀矿床，通过酸性浸出剂调节pH至酸性以溶解铀矿物，辅以氧化剂将矿石中难溶解四价铀转换为易溶解六价铀来提升浸出效率。酸法浸出的浸出剂一般为H</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SO</w:t>
      </w:r>
      <w:r>
        <w:rPr>
          <w:rFonts w:hint="default" w:ascii="Times New Roman" w:hAnsi="Times New Roman" w:eastAsia="宋体" w:cs="Times New Roman"/>
          <w:sz w:val="24"/>
          <w:szCs w:val="24"/>
          <w:vertAlign w:val="subscript"/>
        </w:rPr>
        <w:t>4</w:t>
      </w:r>
      <w:r>
        <w:rPr>
          <w:rFonts w:hint="default" w:ascii="Times New Roman" w:hAnsi="Times New Roman" w:eastAsia="宋体" w:cs="Times New Roman"/>
          <w:sz w:val="24"/>
          <w:szCs w:val="24"/>
        </w:rPr>
        <w:t>，氧化剂（若有）一般为H</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。由此可见，酸法地浸的浸出过程会引入</w:t>
      </w:r>
      <w:r>
        <w:rPr>
          <w:rFonts w:hint="default" w:ascii="Times New Roman" w:hAnsi="Times New Roman" w:eastAsia="宋体" w:cs="Times New Roman"/>
          <w:sz w:val="24"/>
          <w:szCs w:val="24"/>
          <w:lang w:val="pt-BR"/>
        </w:rPr>
        <w:t>SO</w:t>
      </w:r>
      <w:r>
        <w:rPr>
          <w:rFonts w:hint="default" w:ascii="Times New Roman" w:hAnsi="Times New Roman" w:eastAsia="宋体" w:cs="Times New Roman"/>
          <w:sz w:val="24"/>
          <w:szCs w:val="24"/>
          <w:vertAlign w:val="subscript"/>
          <w:lang w:val="pt-BR"/>
        </w:rPr>
        <w:t>4</w:t>
      </w:r>
      <w:r>
        <w:rPr>
          <w:rFonts w:hint="default" w:ascii="Times New Roman" w:hAnsi="Times New Roman" w:eastAsia="宋体" w:cs="Times New Roman"/>
          <w:sz w:val="24"/>
          <w:szCs w:val="24"/>
          <w:vertAlign w:val="superscript"/>
          <w:lang w:val="pt-BR"/>
        </w:rPr>
        <w:t>2-</w:t>
      </w:r>
      <w:r>
        <w:rPr>
          <w:rFonts w:hint="default" w:ascii="Times New Roman" w:hAnsi="Times New Roman" w:eastAsia="宋体" w:cs="Times New Roman"/>
          <w:sz w:val="24"/>
          <w:szCs w:val="24"/>
          <w:lang w:val="pt-BR"/>
        </w:rPr>
        <w:t>。</w:t>
      </w:r>
    </w:p>
    <w:p>
      <w:pPr>
        <w:pStyle w:val="2"/>
        <w:keepNext w:val="0"/>
        <w:keepLines w:val="0"/>
        <w:pageBreakBefore w:val="0"/>
        <w:kinsoku/>
        <w:wordWrap/>
        <w:overflowPunct/>
        <w:topLinePunct w:val="0"/>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酸法地浸水冶工艺流程为</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浸出液→吸附→饱和再吸附→淋洗→沉淀→过滤→洗涤→产品。淋洗剂一般为NH</w:t>
      </w:r>
      <w:r>
        <w:rPr>
          <w:rFonts w:hint="default" w:ascii="Times New Roman" w:hAnsi="Times New Roman" w:eastAsia="宋体" w:cs="Times New Roman"/>
          <w:sz w:val="24"/>
          <w:szCs w:val="24"/>
          <w:vertAlign w:val="subscript"/>
        </w:rPr>
        <w:t>4</w:t>
      </w:r>
      <w:r>
        <w:rPr>
          <w:rFonts w:hint="default" w:ascii="Times New Roman" w:hAnsi="Times New Roman" w:eastAsia="宋体" w:cs="Times New Roman"/>
          <w:sz w:val="24"/>
          <w:szCs w:val="24"/>
        </w:rPr>
        <w:t>NO</w:t>
      </w:r>
      <w:r>
        <w:rPr>
          <w:rFonts w:hint="default" w:ascii="Times New Roman" w:hAnsi="Times New Roman" w:eastAsia="宋体" w:cs="Times New Roman"/>
          <w:sz w:val="24"/>
          <w:szCs w:val="24"/>
          <w:vertAlign w:val="subscript"/>
        </w:rPr>
        <w:t>3</w:t>
      </w:r>
      <w:r>
        <w:rPr>
          <w:rFonts w:hint="default" w:ascii="Times New Roman" w:hAnsi="Times New Roman" w:eastAsia="宋体" w:cs="Times New Roman"/>
          <w:sz w:val="24"/>
          <w:szCs w:val="24"/>
        </w:rPr>
        <w:t>+</w:t>
      </w:r>
      <w:r>
        <w:rPr>
          <w:rFonts w:hint="default" w:ascii="Times New Roman" w:hAnsi="Times New Roman" w:eastAsia="宋体" w:cs="Times New Roman"/>
          <w:kern w:val="0"/>
          <w:sz w:val="24"/>
          <w:szCs w:val="24"/>
        </w:rPr>
        <w:t>H</w:t>
      </w:r>
      <w:r>
        <w:rPr>
          <w:rFonts w:hint="default" w:ascii="Times New Roman" w:hAnsi="Times New Roman" w:eastAsia="宋体" w:cs="Times New Roman"/>
          <w:kern w:val="0"/>
          <w:sz w:val="24"/>
          <w:szCs w:val="24"/>
          <w:vertAlign w:val="subscript"/>
        </w:rPr>
        <w:t>2</w:t>
      </w:r>
      <w:r>
        <w:rPr>
          <w:rFonts w:hint="default" w:ascii="Times New Roman" w:hAnsi="Times New Roman" w:eastAsia="宋体" w:cs="Times New Roman"/>
          <w:kern w:val="0"/>
          <w:sz w:val="24"/>
          <w:szCs w:val="24"/>
        </w:rPr>
        <w:t>SO</w:t>
      </w:r>
      <w:r>
        <w:rPr>
          <w:rFonts w:hint="default" w:ascii="Times New Roman" w:hAnsi="Times New Roman" w:eastAsia="宋体" w:cs="Times New Roman"/>
          <w:kern w:val="0"/>
          <w:sz w:val="24"/>
          <w:szCs w:val="24"/>
          <w:vertAlign w:val="subscript"/>
        </w:rPr>
        <w:t>4</w:t>
      </w:r>
      <w:r>
        <w:rPr>
          <w:rFonts w:hint="default" w:ascii="Times New Roman" w:hAnsi="Times New Roman" w:eastAsia="宋体" w:cs="Times New Roman"/>
          <w:sz w:val="24"/>
          <w:szCs w:val="24"/>
        </w:rPr>
        <w:t>，转型剂一般为</w:t>
      </w:r>
      <w:r>
        <w:rPr>
          <w:rFonts w:hint="default" w:ascii="Times New Roman" w:hAnsi="Times New Roman" w:eastAsia="宋体" w:cs="Times New Roman"/>
          <w:kern w:val="0"/>
          <w:sz w:val="24"/>
          <w:szCs w:val="24"/>
        </w:rPr>
        <w:t>H</w:t>
      </w:r>
      <w:r>
        <w:rPr>
          <w:rFonts w:hint="default" w:ascii="Times New Roman" w:hAnsi="Times New Roman" w:eastAsia="宋体" w:cs="Times New Roman"/>
          <w:kern w:val="0"/>
          <w:sz w:val="24"/>
          <w:szCs w:val="24"/>
          <w:vertAlign w:val="subscript"/>
        </w:rPr>
        <w:t>2</w:t>
      </w:r>
      <w:r>
        <w:rPr>
          <w:rFonts w:hint="default" w:ascii="Times New Roman" w:hAnsi="Times New Roman" w:eastAsia="宋体" w:cs="Times New Roman"/>
          <w:kern w:val="0"/>
          <w:sz w:val="24"/>
          <w:szCs w:val="24"/>
        </w:rPr>
        <w:t>SO</w:t>
      </w:r>
      <w:r>
        <w:rPr>
          <w:rFonts w:hint="default" w:ascii="Times New Roman" w:hAnsi="Times New Roman" w:eastAsia="宋体" w:cs="Times New Roman"/>
          <w:kern w:val="0"/>
          <w:sz w:val="24"/>
          <w:szCs w:val="24"/>
          <w:vertAlign w:val="subscript"/>
        </w:rPr>
        <w:t>4</w:t>
      </w:r>
      <w:r>
        <w:rPr>
          <w:rFonts w:hint="default" w:ascii="Times New Roman" w:hAnsi="Times New Roman" w:eastAsia="宋体" w:cs="Times New Roman"/>
          <w:sz w:val="24"/>
          <w:szCs w:val="24"/>
        </w:rPr>
        <w:t>，沉淀剂一般为NaOH。与</w:t>
      </w:r>
      <w:r>
        <w:rPr>
          <w:rFonts w:hint="eastAsia" w:ascii="Times New Roman" w:cs="Times New Roman"/>
          <w:sz w:val="24"/>
          <w:szCs w:val="24"/>
          <w:lang w:val="en-US" w:eastAsia="zh-CN"/>
        </w:rPr>
        <w:t>中性</w:t>
      </w:r>
      <w:r>
        <w:rPr>
          <w:rFonts w:hint="default" w:ascii="Times New Roman" w:hAnsi="Times New Roman" w:eastAsia="宋体" w:cs="Times New Roman"/>
          <w:sz w:val="24"/>
          <w:szCs w:val="24"/>
          <w:lang w:val="en-US" w:eastAsia="zh-CN"/>
        </w:rPr>
        <w:t>类似</w:t>
      </w:r>
      <w:r>
        <w:rPr>
          <w:rFonts w:hint="default" w:ascii="Times New Roman" w:hAnsi="Times New Roman" w:eastAsia="宋体" w:cs="Times New Roman"/>
          <w:sz w:val="24"/>
          <w:szCs w:val="24"/>
        </w:rPr>
        <w:t>，由于返回井场的浸出剂为吸附工序产生的吸附尾液，</w:t>
      </w:r>
      <w:r>
        <w:rPr>
          <w:rFonts w:hint="eastAsia" w:ascii="Times New Roman" w:cs="Times New Roman"/>
          <w:sz w:val="24"/>
          <w:szCs w:val="24"/>
          <w:lang w:val="en-US" w:eastAsia="zh-CN"/>
        </w:rPr>
        <w:t>基本</w:t>
      </w:r>
      <w:r>
        <w:rPr>
          <w:rFonts w:hint="default" w:ascii="Times New Roman" w:hAnsi="Times New Roman" w:eastAsia="宋体" w:cs="Times New Roman"/>
          <w:sz w:val="24"/>
          <w:szCs w:val="24"/>
        </w:rPr>
        <w:t>不涉及后续淋洗、转型、沉淀等工序，水冶过程一般不向含矿含水层</w:t>
      </w:r>
      <w:r>
        <w:rPr>
          <w:rFonts w:hint="eastAsia" w:ascii="Times New Roman" w:cs="Times New Roman"/>
          <w:sz w:val="24"/>
          <w:szCs w:val="24"/>
          <w:lang w:val="en-US" w:eastAsia="zh-CN"/>
        </w:rPr>
        <w:t>大量</w:t>
      </w:r>
      <w:r>
        <w:rPr>
          <w:rFonts w:hint="default" w:ascii="Times New Roman" w:hAnsi="Times New Roman" w:eastAsia="宋体" w:cs="Times New Roman"/>
          <w:sz w:val="24"/>
          <w:szCs w:val="24"/>
        </w:rPr>
        <w:t>引入其他物质。</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酸法浸出</w:t>
      </w:r>
      <w:r>
        <w:rPr>
          <w:rFonts w:hint="default" w:ascii="Times New Roman" w:hAnsi="Times New Roman" w:eastAsia="宋体" w:cs="Times New Roman"/>
          <w:sz w:val="24"/>
          <w:szCs w:val="24"/>
          <w:lang w:val="pt-BR"/>
        </w:rPr>
        <w:t>过程</w:t>
      </w:r>
      <w:r>
        <w:rPr>
          <w:rFonts w:hint="default" w:ascii="Times New Roman" w:hAnsi="Times New Roman" w:eastAsia="宋体" w:cs="Times New Roman"/>
          <w:sz w:val="24"/>
          <w:szCs w:val="24"/>
        </w:rPr>
        <w:t>中，注入的大量H</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SO</w:t>
      </w:r>
      <w:r>
        <w:rPr>
          <w:rFonts w:hint="default" w:ascii="Times New Roman" w:hAnsi="Times New Roman" w:eastAsia="宋体" w:cs="Times New Roman"/>
          <w:sz w:val="24"/>
          <w:szCs w:val="24"/>
          <w:vertAlign w:val="subscript"/>
        </w:rPr>
        <w:t>4</w:t>
      </w:r>
      <w:r>
        <w:rPr>
          <w:rFonts w:hint="default" w:ascii="Times New Roman" w:hAnsi="Times New Roman" w:eastAsia="宋体" w:cs="Times New Roman"/>
          <w:sz w:val="24"/>
          <w:szCs w:val="24"/>
        </w:rPr>
        <w:t>和H</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O</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会使地下水转为强酸性、强氧化环境，使矿层中的长石、黏土、云母、碳酸盐、硫化物等矿物发生溶解反应，导致一些组分含量显著增高。</w:t>
      </w:r>
      <w:r>
        <w:rPr>
          <w:rFonts w:hint="default" w:ascii="Times New Roman" w:hAnsi="Times New Roman" w:eastAsia="宋体" w:cs="Times New Roman"/>
          <w:sz w:val="24"/>
          <w:szCs w:val="24"/>
          <w:highlight w:val="none"/>
        </w:rPr>
        <w:t>一般主要包括钙长石、钠长石、钾长石等长石类矿物溶解产生的Ca、Na、K，赤铁矿、黄铁矿、</w:t>
      </w:r>
      <w:r>
        <w:rPr>
          <w:rFonts w:hint="eastAsia" w:ascii="Times New Roman" w:hAnsi="Times New Roman" w:eastAsia="宋体" w:cs="Times New Roman"/>
          <w:sz w:val="24"/>
          <w:szCs w:val="24"/>
          <w:highlight w:val="none"/>
        </w:rPr>
        <w:t>绿帘石</w:t>
      </w:r>
      <w:r>
        <w:rPr>
          <w:rFonts w:hint="default" w:ascii="Times New Roman" w:hAnsi="Times New Roman" w:eastAsia="宋体" w:cs="Times New Roman"/>
          <w:sz w:val="24"/>
          <w:szCs w:val="24"/>
          <w:highlight w:val="none"/>
        </w:rPr>
        <w:t>等金属类矿石溶解产生的Fe、Al，以及矿石中一些微量元素如Mn、Cr、As等也会在浸出过程中氧化溶解，</w:t>
      </w:r>
      <w:r>
        <w:rPr>
          <w:rFonts w:hint="default" w:ascii="Times New Roman" w:hAnsi="Times New Roman" w:eastAsia="宋体" w:cs="Times New Roman"/>
          <w:sz w:val="24"/>
          <w:szCs w:val="24"/>
        </w:rPr>
        <w:t>其浓度受铀矿石组分影响较大，不同矿床</w:t>
      </w:r>
      <w:r>
        <w:rPr>
          <w:rFonts w:hint="default" w:ascii="Times New Roman" w:hAnsi="Times New Roman" w:eastAsia="宋体" w:cs="Times New Roman"/>
          <w:sz w:val="24"/>
          <w:szCs w:val="24"/>
          <w:lang w:val="en-US" w:eastAsia="zh-CN"/>
        </w:rPr>
        <w:t>存在</w:t>
      </w:r>
      <w:r>
        <w:rPr>
          <w:rFonts w:hint="default" w:ascii="Times New Roman" w:hAnsi="Times New Roman" w:eastAsia="宋体" w:cs="Times New Roman"/>
          <w:sz w:val="24"/>
          <w:szCs w:val="24"/>
        </w:rPr>
        <w:t>差异。</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宋体" w:cs="Times New Roman"/>
          <w:sz w:val="24"/>
          <w:szCs w:val="24"/>
          <w:lang w:val="en-US" w:eastAsia="zh-CN"/>
        </w:rPr>
        <w:t>2026年初，天山铀业对737厂15#采区55个钻孔开展了地下水现场源项调查取样分析（10个钻孔为多因子分析），监测结果与</w:t>
      </w:r>
      <w:r>
        <w:rPr>
          <w:rFonts w:hint="default" w:ascii="Times New Roman" w:hAnsi="Times New Roman" w:eastAsia="宋体" w:cs="Times New Roman"/>
          <w:sz w:val="24"/>
          <w:szCs w:val="24"/>
          <w:lang w:val="en-US" w:eastAsia="zh-CN"/>
        </w:rPr>
        <w:t>GB/T14848</w:t>
      </w:r>
      <w:r>
        <w:rPr>
          <w:rFonts w:hint="eastAsia" w:ascii="Times New Roman" w:hAnsi="Times New Roman" w:eastAsia="宋体" w:cs="Times New Roman"/>
          <w:sz w:val="24"/>
          <w:szCs w:val="24"/>
          <w:lang w:val="en-US" w:eastAsia="zh-CN"/>
        </w:rPr>
        <w:t>报批稿中Ⅳ类限值要求比较，显示pH、总硬度、TDS、硫酸盐、铁、锰、锌、铝、氨氮、硝酸盐、氟化物、汞、砷、镉、铬等15项指标超标，其中汞、硝酸盐、锌、砷、镉、铬超标比例相对较低，超标倍数也相对较小；总硬度、TDS超标比例相对较高，但超标倍数相对较小；硫酸盐、铁、锰、铝、氨氮、氟化物超标比例高，超标倍数也大；pH超标比例高。源项调查超标指标数据汇总情况见表6。</w:t>
      </w:r>
    </w:p>
    <w:p>
      <w:pPr>
        <w:pStyle w:val="2"/>
        <w:ind w:left="0" w:leftChars="0" w:firstLine="0" w:firstLineChars="0"/>
        <w:jc w:val="center"/>
        <w:rPr>
          <w:rFonts w:hint="eastAsia" w:ascii="Times New Roman" w:hAnsi="Times New Roman" w:eastAsia="宋体" w:cs="Times New Roman"/>
          <w:sz w:val="24"/>
          <w:szCs w:val="24"/>
          <w:highlight w:val="none"/>
          <w:lang w:val="en-US" w:eastAsia="zh-CN"/>
        </w:rPr>
      </w:pPr>
      <w:bookmarkStart w:id="12" w:name="OLE_LINK5"/>
      <w:r>
        <w:rPr>
          <w:rFonts w:hint="eastAsia" w:ascii="Times New Roman" w:hAnsi="Times New Roman" w:eastAsia="宋体" w:cs="Times New Roman"/>
          <w:sz w:val="24"/>
          <w:szCs w:val="24"/>
          <w:highlight w:val="none"/>
          <w:lang w:val="en-US" w:eastAsia="zh-CN"/>
        </w:rPr>
        <w:t>表</w:t>
      </w:r>
      <w:r>
        <w:rPr>
          <w:rFonts w:hint="eastAsia" w:ascii="Times New Roman" w:cs="Times New Roman"/>
          <w:sz w:val="24"/>
          <w:szCs w:val="24"/>
          <w:highlight w:val="none"/>
          <w:lang w:val="en-US" w:eastAsia="zh-CN"/>
        </w:rPr>
        <w:t>6</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sz w:val="24"/>
          <w:szCs w:val="24"/>
          <w:lang w:val="en-US" w:eastAsia="zh-CN"/>
        </w:rPr>
        <w:t>737厂15#采区</w:t>
      </w:r>
      <w:r>
        <w:rPr>
          <w:rFonts w:hint="eastAsia" w:ascii="Times New Roman" w:hAnsi="Times New Roman" w:eastAsia="宋体" w:cs="Times New Roman"/>
          <w:sz w:val="24"/>
          <w:szCs w:val="24"/>
          <w:highlight w:val="none"/>
          <w:lang w:val="en-US" w:eastAsia="zh-CN"/>
        </w:rPr>
        <w:t>现场源项调查</w:t>
      </w:r>
      <w:r>
        <w:rPr>
          <w:rFonts w:hint="eastAsia" w:ascii="Times New Roman" w:cs="Times New Roman"/>
          <w:sz w:val="24"/>
          <w:szCs w:val="24"/>
          <w:highlight w:val="none"/>
          <w:lang w:val="en-US" w:eastAsia="zh-CN"/>
        </w:rPr>
        <w:t>超标非</w:t>
      </w:r>
      <w:r>
        <w:rPr>
          <w:rFonts w:hint="eastAsia" w:ascii="Times New Roman" w:hAnsi="Times New Roman" w:eastAsia="宋体" w:cs="Times New Roman"/>
          <w:sz w:val="24"/>
          <w:szCs w:val="24"/>
          <w:highlight w:val="none"/>
          <w:lang w:val="en-US" w:eastAsia="zh-CN"/>
        </w:rPr>
        <w:t>放射性指标汇总表</w:t>
      </w:r>
    </w:p>
    <w:tbl>
      <w:tblPr>
        <w:tblStyle w:val="10"/>
        <w:tblW w:w="50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887"/>
        <w:gridCol w:w="750"/>
        <w:gridCol w:w="1538"/>
        <w:gridCol w:w="987"/>
        <w:gridCol w:w="1113"/>
        <w:gridCol w:w="1062"/>
        <w:gridCol w:w="1125"/>
        <w:gridCol w:w="1025"/>
        <w:gridCol w:w="1018"/>
        <w:gridCol w:w="789"/>
        <w:gridCol w:w="745"/>
        <w:gridCol w:w="961"/>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序号</w:t>
            </w:r>
          </w:p>
        </w:tc>
        <w:tc>
          <w:tcPr>
            <w:tcW w:w="31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指标</w:t>
            </w:r>
          </w:p>
        </w:tc>
        <w:tc>
          <w:tcPr>
            <w:tcW w:w="263"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rPr>
              <w:t>监测数量</w:t>
            </w:r>
            <w:r>
              <w:rPr>
                <w:rFonts w:hint="default" w:ascii="Times New Roman" w:hAnsi="Times New Roman" w:eastAsia="宋体" w:cs="Times New Roman"/>
                <w:b w:val="0"/>
                <w:bCs w:val="0"/>
                <w:szCs w:val="21"/>
                <w:lang w:eastAsia="zh-CN"/>
              </w:rPr>
              <w:t>（</w:t>
            </w:r>
            <w:r>
              <w:rPr>
                <w:rFonts w:hint="default" w:ascii="Times New Roman" w:hAnsi="Times New Roman" w:eastAsia="宋体" w:cs="Times New Roman"/>
                <w:b w:val="0"/>
                <w:bCs w:val="0"/>
                <w:szCs w:val="21"/>
              </w:rPr>
              <w:t>个</w:t>
            </w:r>
            <w:r>
              <w:rPr>
                <w:rFonts w:hint="default" w:ascii="Times New Roman" w:hAnsi="Times New Roman" w:eastAsia="宋体" w:cs="Times New Roman"/>
                <w:b w:val="0"/>
                <w:bCs w:val="0"/>
                <w:szCs w:val="21"/>
                <w:lang w:eastAsia="zh-CN"/>
              </w:rPr>
              <w:t>）</w:t>
            </w:r>
          </w:p>
        </w:tc>
        <w:tc>
          <w:tcPr>
            <w:tcW w:w="539" w:type="pct"/>
            <w:vAlign w:val="center"/>
          </w:tcPr>
          <w:p>
            <w:pPr>
              <w:pStyle w:val="2"/>
              <w:widowControl w:val="0"/>
              <w:ind w:firstLine="0" w:firstLineChars="0"/>
              <w:jc w:val="center"/>
              <w:rPr>
                <w:rFonts w:hint="default" w:ascii="Times New Roman" w:hAnsi="Times New Roman" w:eastAsia="宋体" w:cs="Times New Roman"/>
                <w:b w:val="0"/>
                <w:bCs w:val="0"/>
              </w:rPr>
            </w:pPr>
            <w:r>
              <w:rPr>
                <w:rFonts w:hint="default" w:ascii="Times New Roman" w:hAnsi="Times New Roman" w:eastAsia="宋体" w:cs="Times New Roman"/>
                <w:b w:val="0"/>
                <w:bCs w:val="0"/>
              </w:rPr>
              <w:t>范围值</w:t>
            </w:r>
          </w:p>
          <w:p>
            <w:pPr>
              <w:jc w:val="cente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4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平均值</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90" w:type="pct"/>
            <w:vAlign w:val="center"/>
          </w:tcPr>
          <w:p>
            <w:pPr>
              <w:pStyle w:val="2"/>
              <w:widowControl w:val="0"/>
              <w:ind w:firstLine="0" w:firstLineChars="0"/>
              <w:jc w:val="center"/>
              <w:rPr>
                <w:rFonts w:hint="default" w:ascii="Times New Roman" w:hAnsi="Times New Roman" w:eastAsia="宋体" w:cs="Times New Roman"/>
                <w:b w:val="0"/>
                <w:bCs w:val="0"/>
              </w:rPr>
            </w:pPr>
            <w:r>
              <w:rPr>
                <w:rFonts w:hint="default" w:ascii="Times New Roman" w:hAnsi="Times New Roman" w:eastAsia="宋体" w:cs="Times New Roman"/>
                <w:b w:val="0"/>
                <w:bCs w:val="0"/>
                <w:lang w:val="en-US" w:eastAsia="zh-CN"/>
              </w:rPr>
              <w:t>25</w:t>
            </w:r>
            <w:r>
              <w:rPr>
                <w:rFonts w:hint="default" w:ascii="Times New Roman" w:hAnsi="Times New Roman" w:eastAsia="宋体" w:cs="Times New Roman"/>
                <w:b w:val="0"/>
                <w:bCs w:val="0"/>
              </w:rPr>
              <w:t>分位值</w:t>
            </w:r>
          </w:p>
          <w:p>
            <w:pPr>
              <w:rPr>
                <w:rFonts w:hint="default" w:ascii="Times New Roman" w:hAnsi="Times New Roman" w:eastAsia="宋体" w:cs="Times New Roman"/>
                <w:b w:val="0"/>
                <w:bCs w:val="0"/>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72" w:type="pct"/>
            <w:vAlign w:val="center"/>
          </w:tcPr>
          <w:p>
            <w:pPr>
              <w:pStyle w:val="2"/>
              <w:widowControl w:val="0"/>
              <w:ind w:firstLine="0" w:firstLineChars="0"/>
              <w:jc w:val="cente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50分位值</w:t>
            </w:r>
          </w:p>
          <w:p>
            <w:pPr>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94" w:type="pct"/>
            <w:vAlign w:val="center"/>
          </w:tcPr>
          <w:p>
            <w:pPr>
              <w:pStyle w:val="2"/>
              <w:widowControl w:val="0"/>
              <w:ind w:firstLine="0" w:firstLineChars="0"/>
              <w:jc w:val="center"/>
              <w:rPr>
                <w:rFonts w:hint="default" w:ascii="Times New Roman" w:hAnsi="Times New Roman" w:eastAsia="宋体" w:cs="Times New Roman"/>
                <w:b w:val="0"/>
                <w:bCs w:val="0"/>
              </w:rPr>
            </w:pPr>
            <w:r>
              <w:rPr>
                <w:rFonts w:hint="default" w:ascii="Times New Roman" w:hAnsi="Times New Roman" w:eastAsia="宋体" w:cs="Times New Roman"/>
                <w:b w:val="0"/>
                <w:bCs w:val="0"/>
                <w:lang w:val="en-US" w:eastAsia="zh-CN"/>
              </w:rPr>
              <w:t>75</w:t>
            </w:r>
            <w:r>
              <w:rPr>
                <w:rFonts w:hint="default" w:ascii="Times New Roman" w:hAnsi="Times New Roman" w:eastAsia="宋体" w:cs="Times New Roman"/>
                <w:b w:val="0"/>
                <w:bCs w:val="0"/>
              </w:rPr>
              <w:t>分位值</w:t>
            </w:r>
          </w:p>
          <w:p>
            <w:pPr>
              <w:rPr>
                <w:rFonts w:hint="default" w:ascii="Times New Roman" w:hAnsi="Times New Roman" w:eastAsia="宋体" w:cs="Times New Roman"/>
                <w:b w:val="0"/>
                <w:bCs w:val="0"/>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59"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标准值</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357" w:type="pct"/>
            <w:vAlign w:val="center"/>
          </w:tcPr>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本底值</w:t>
            </w:r>
          </w:p>
          <w:p>
            <w:pPr>
              <w:pStyle w:val="2"/>
              <w:widowControl w:val="0"/>
              <w:ind w:firstLine="0" w:firstLine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mg/L</w:t>
            </w:r>
            <w:r>
              <w:rPr>
                <w:rFonts w:hint="default" w:ascii="Times New Roman" w:hAnsi="Times New Roman" w:eastAsia="宋体" w:cs="Times New Roman"/>
                <w:b w:val="0"/>
                <w:bCs w:val="0"/>
                <w:szCs w:val="21"/>
                <w:lang w:val="en-US" w:eastAsia="zh-CN"/>
              </w:rPr>
              <w:t>）</w:t>
            </w:r>
          </w:p>
        </w:tc>
        <w:tc>
          <w:tcPr>
            <w:tcW w:w="276"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超标</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数量</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个</w:t>
            </w:r>
            <w:r>
              <w:rPr>
                <w:rFonts w:hint="default" w:ascii="Times New Roman" w:hAnsi="Times New Roman" w:eastAsia="宋体" w:cs="Times New Roman"/>
                <w:b w:val="0"/>
                <w:bCs w:val="0"/>
                <w:szCs w:val="21"/>
                <w:lang w:val="en-US" w:eastAsia="zh-CN"/>
              </w:rPr>
              <w:t>）</w:t>
            </w:r>
          </w:p>
        </w:tc>
        <w:tc>
          <w:tcPr>
            <w:tcW w:w="261"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超标</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比例</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lang w:val="en-US" w:eastAsia="zh-CN"/>
              </w:rPr>
              <w:t>（</w:t>
            </w:r>
            <w:r>
              <w:rPr>
                <w:rFonts w:hint="default" w:ascii="Times New Roman" w:hAnsi="Times New Roman" w:eastAsia="宋体" w:cs="Times New Roman"/>
                <w:b w:val="0"/>
                <w:bCs w:val="0"/>
                <w:szCs w:val="21"/>
              </w:rPr>
              <w:t>%</w:t>
            </w:r>
            <w:r>
              <w:rPr>
                <w:rFonts w:hint="default" w:ascii="Times New Roman" w:hAnsi="Times New Roman" w:eastAsia="宋体" w:cs="Times New Roman"/>
                <w:b w:val="0"/>
                <w:bCs w:val="0"/>
                <w:szCs w:val="21"/>
                <w:lang w:val="en-US" w:eastAsia="zh-CN"/>
              </w:rPr>
              <w:t>）</w:t>
            </w:r>
          </w:p>
        </w:tc>
        <w:tc>
          <w:tcPr>
            <w:tcW w:w="33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最大超</w:t>
            </w:r>
          </w:p>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标倍数</w:t>
            </w:r>
          </w:p>
          <w:p>
            <w:pPr>
              <w:pStyle w:val="2"/>
              <w:widowControl w:val="0"/>
              <w:ind w:firstLine="0" w:firstLine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szCs w:val="21"/>
                <w:lang w:eastAsia="zh-CN"/>
              </w:rPr>
              <w:t>（</w:t>
            </w:r>
            <w:r>
              <w:rPr>
                <w:rFonts w:hint="default" w:ascii="Times New Roman" w:hAnsi="Times New Roman" w:eastAsia="宋体" w:cs="Times New Roman"/>
                <w:b w:val="0"/>
                <w:bCs w:val="0"/>
                <w:szCs w:val="21"/>
              </w:rPr>
              <w:t>倍</w:t>
            </w:r>
            <w:r>
              <w:rPr>
                <w:rFonts w:hint="default" w:ascii="Times New Roman" w:hAnsi="Times New Roman" w:eastAsia="宋体" w:cs="Times New Roman"/>
                <w:b w:val="0"/>
                <w:bCs w:val="0"/>
                <w:szCs w:val="21"/>
                <w:lang w:eastAsia="zh-CN"/>
              </w:rPr>
              <w:t>）</w:t>
            </w:r>
          </w:p>
        </w:tc>
        <w:tc>
          <w:tcPr>
            <w:tcW w:w="622"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1</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pH</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55</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1.57-7.01</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2.89</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2.18</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2.32</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3.03</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5.5-6.5</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7.6</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50</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91</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无量纲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2</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总硬度</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90.6-4309</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2369</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813</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1470</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4168</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850</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7</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70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4.07</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3</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TDS</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101-9894</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4255</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761</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1859</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8210</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2000</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i w:val="0"/>
                <w:iCs w:val="0"/>
                <w:color w:val="auto"/>
                <w:sz w:val="21"/>
                <w:szCs w:val="21"/>
              </w:rPr>
              <w:t>5</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50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3.95</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4</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硫酸盐</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55</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35-27034</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6225.9</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3092.2</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5108.5</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6351.7</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500</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197</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i w:val="0"/>
                <w:iCs w:val="0"/>
                <w:color w:val="auto"/>
                <w:sz w:val="21"/>
                <w:szCs w:val="21"/>
              </w:rPr>
              <w:t>50</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91</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53.1</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1个＞20000mg/L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5</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铁</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55</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0.01-2170</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702.16</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235.96</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576</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780.42</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4.5</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5.88</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i w:val="0"/>
                <w:iCs w:val="0"/>
                <w:color w:val="auto"/>
                <w:sz w:val="21"/>
                <w:szCs w:val="21"/>
              </w:rPr>
              <w:t>50</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eastAsia="zh-CN"/>
              </w:rPr>
            </w:pPr>
            <w:r>
              <w:rPr>
                <w:rFonts w:hint="default" w:ascii="Times New Roman" w:hAnsi="Times New Roman" w:eastAsia="宋体" w:cs="Times New Roman"/>
                <w:b w:val="0"/>
                <w:bCs w:val="0"/>
                <w:i w:val="0"/>
                <w:iCs w:val="0"/>
                <w:color w:val="auto"/>
                <w:sz w:val="21"/>
                <w:szCs w:val="21"/>
              </w:rPr>
              <w:t>91</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481</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1个＞2000mg/L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6</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锰</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55</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0.01-163</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47.75</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23.16</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37.04</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52.73</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1.5</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50</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91</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108</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1个＞150mg/L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7</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锌</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i w:val="0"/>
                <w:iCs w:val="0"/>
                <w:color w:val="auto"/>
                <w:sz w:val="21"/>
                <w:szCs w:val="21"/>
              </w:rPr>
              <w:t>0.01-19.2</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7.36</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0.01</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0.15</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17.2</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4</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40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2.44</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rPr>
              <w:t>8</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铝</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0.01-1440</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578.7</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0.01</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0.01</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1371</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0.5</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&lt;0.1</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50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2879</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5个未检出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highlight w:val="none"/>
                <w:lang w:val="en-US" w:eastAsia="zh-CN"/>
              </w:rPr>
              <w:t>9</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氨氮</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2.42-49.6</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22.53</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3.01</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23.1</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37.9</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1.5</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10</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32</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highlight w:val="none"/>
                <w:lang w:val="en-US" w:eastAsia="zh-CN"/>
              </w:rPr>
              <w:t>10</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硝酸盐</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0.5-71.1</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14.06</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3.14</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4.3</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12.4</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30</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20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1.37</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highlight w:val="none"/>
                <w:lang w:val="en-US" w:eastAsia="zh-CN"/>
              </w:rPr>
              <w:t>11</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氟化物</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0.172-20.2</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8.4</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0.635</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2.13</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18.2</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0.6</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6</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60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9.1</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highlight w:val="none"/>
                <w:lang w:val="en-US" w:eastAsia="zh-CN"/>
              </w:rPr>
              <w:t>12</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汞</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0-0.0063</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0.0008</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0.00007</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0.0001</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0.00038</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0.002</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0.0148</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2.15</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 w:val="21"/>
                <w:szCs w:val="21"/>
                <w:highlight w:val="none"/>
                <w:vertAlign w:val="baseline"/>
                <w:lang w:val="en-US" w:eastAsia="zh-CN"/>
              </w:rPr>
            </w:pPr>
            <w:r>
              <w:rPr>
                <w:rFonts w:hint="default" w:ascii="Times New Roman" w:hAnsi="Times New Roman" w:eastAsia="宋体" w:cs="Times New Roman"/>
                <w:b w:val="0"/>
                <w:bCs w:val="0"/>
                <w:i w:val="0"/>
                <w:iCs w:val="0"/>
                <w:color w:val="auto"/>
                <w:sz w:val="21"/>
                <w:szCs w:val="21"/>
              </w:rPr>
              <w:t>1个超标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highlight w:val="none"/>
                <w:lang w:val="en-US" w:eastAsia="zh-CN"/>
              </w:rPr>
              <w:t>13</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砷</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0.00087-0.26</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0.087</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0.00108</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0.00277</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0.18</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0.05</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0.007</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40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4.16</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highlight w:val="none"/>
                <w:lang w:val="en-US" w:eastAsia="zh-CN"/>
              </w:rPr>
              <w:t>14</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镉</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0.001-0.11</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0.028</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0.001</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0.001</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0.04</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0.01</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0.003</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5</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50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10</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 w:val="21"/>
                <w:szCs w:val="21"/>
                <w:highlight w:val="none"/>
                <w:vertAlign w:val="baseline"/>
                <w:lang w:val="en-US" w:eastAsia="zh-CN"/>
              </w:rPr>
            </w:pPr>
            <w:r>
              <w:rPr>
                <w:rFonts w:hint="default" w:ascii="Times New Roman" w:hAnsi="Times New Roman" w:eastAsia="宋体" w:cs="Times New Roman"/>
                <w:b w:val="0"/>
                <w:bCs w:val="0"/>
                <w:i w:val="0"/>
                <w:iCs w:val="0"/>
                <w:color w:val="auto"/>
                <w:sz w:val="21"/>
                <w:szCs w:val="21"/>
              </w:rPr>
              <w:t>1个＞0.04mg/L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 w:type="pct"/>
            <w:vAlign w:val="center"/>
          </w:tcPr>
          <w:p>
            <w:pPr>
              <w:pStyle w:val="2"/>
              <w:widowControl w:val="0"/>
              <w:ind w:firstLine="0" w:firstLine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highlight w:val="none"/>
                <w:lang w:val="en-US" w:eastAsia="zh-CN"/>
              </w:rPr>
              <w:t>15</w:t>
            </w:r>
          </w:p>
        </w:tc>
        <w:tc>
          <w:tcPr>
            <w:tcW w:w="31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铬</w:t>
            </w:r>
          </w:p>
        </w:tc>
        <w:tc>
          <w:tcPr>
            <w:tcW w:w="263"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10</w:t>
            </w:r>
          </w:p>
        </w:tc>
        <w:tc>
          <w:tcPr>
            <w:tcW w:w="53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highlight w:val="none"/>
              </w:rPr>
            </w:pPr>
            <w:r>
              <w:rPr>
                <w:rFonts w:hint="default" w:ascii="Times New Roman" w:hAnsi="Times New Roman" w:eastAsia="宋体" w:cs="Times New Roman"/>
                <w:b w:val="0"/>
                <w:bCs w:val="0"/>
                <w:i w:val="0"/>
                <w:iCs w:val="0"/>
                <w:color w:val="auto"/>
                <w:sz w:val="21"/>
                <w:szCs w:val="21"/>
              </w:rPr>
              <w:t>0.001-0.87</w:t>
            </w:r>
          </w:p>
        </w:tc>
        <w:tc>
          <w:tcPr>
            <w:tcW w:w="34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0.31</w:t>
            </w:r>
          </w:p>
        </w:tc>
        <w:tc>
          <w:tcPr>
            <w:tcW w:w="390"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0.001</w:t>
            </w:r>
          </w:p>
        </w:tc>
        <w:tc>
          <w:tcPr>
            <w:tcW w:w="37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0.001</w:t>
            </w:r>
          </w:p>
        </w:tc>
        <w:tc>
          <w:tcPr>
            <w:tcW w:w="394"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0.71</w:t>
            </w:r>
          </w:p>
        </w:tc>
        <w:tc>
          <w:tcPr>
            <w:tcW w:w="359"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0.1</w:t>
            </w:r>
          </w:p>
        </w:tc>
        <w:tc>
          <w:tcPr>
            <w:tcW w:w="35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0.004</w:t>
            </w:r>
          </w:p>
        </w:tc>
        <w:tc>
          <w:tcPr>
            <w:tcW w:w="276"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4</w:t>
            </w:r>
          </w:p>
        </w:tc>
        <w:tc>
          <w:tcPr>
            <w:tcW w:w="261"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i w:val="0"/>
                <w:iCs w:val="0"/>
                <w:color w:val="auto"/>
                <w:sz w:val="21"/>
                <w:szCs w:val="21"/>
              </w:rPr>
              <w:t>40</w:t>
            </w:r>
          </w:p>
        </w:tc>
        <w:tc>
          <w:tcPr>
            <w:tcW w:w="337"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i w:val="0"/>
                <w:iCs w:val="0"/>
                <w:color w:val="auto"/>
                <w:sz w:val="21"/>
                <w:szCs w:val="21"/>
              </w:rPr>
              <w:t>7.7</w:t>
            </w:r>
          </w:p>
        </w:tc>
        <w:tc>
          <w:tcPr>
            <w:tcW w:w="622" w:type="pct"/>
            <w:vAlign w:val="center"/>
          </w:tcPr>
          <w:p>
            <w:pPr>
              <w:pStyle w:val="8"/>
              <w:keepNext w:val="0"/>
              <w:keepLines w:val="0"/>
              <w:widowControl/>
              <w:suppressLineNumbers w:val="0"/>
              <w:ind w:left="0" w:leftChars="0" w:right="0" w:rightChars="0"/>
              <w:jc w:val="center"/>
              <w:rPr>
                <w:rFonts w:hint="default" w:ascii="Times New Roman" w:hAnsi="Times New Roman" w:eastAsia="宋体" w:cs="Times New Roman"/>
                <w:b w:val="0"/>
                <w:bCs w:val="0"/>
                <w:sz w:val="21"/>
                <w:szCs w:val="21"/>
                <w:highlight w:val="none"/>
                <w:vertAlign w:val="baseline"/>
                <w:lang w:val="en-US" w:eastAsia="zh-CN"/>
              </w:rPr>
            </w:pPr>
          </w:p>
        </w:tc>
      </w:tr>
    </w:tbl>
    <w:p>
      <w:pPr>
        <w:rPr>
          <w:rFonts w:hint="eastAsia" w:ascii="宋体" w:hAnsi="宋体" w:eastAsia="宋体" w:cs="宋体"/>
          <w:b w:val="0"/>
          <w:bCs w:val="0"/>
          <w:lang w:val="en-US" w:eastAsia="zh-CN"/>
        </w:rPr>
      </w:pPr>
      <w:r>
        <w:rPr>
          <w:rFonts w:hint="eastAsia" w:ascii="宋体" w:hAnsi="宋体" w:eastAsia="宋体" w:cs="宋体"/>
          <w:b w:val="0"/>
          <w:bCs w:val="0"/>
          <w:szCs w:val="21"/>
          <w:lang w:val="en-US" w:eastAsia="zh-CN"/>
        </w:rPr>
        <w:t>注：本底值通过</w:t>
      </w:r>
      <w:r>
        <w:rPr>
          <w:rFonts w:hint="eastAsia" w:ascii="宋体" w:hAnsi="宋体" w:eastAsia="宋体" w:cs="宋体"/>
          <w:b w:val="0"/>
          <w:bCs w:val="0"/>
          <w:szCs w:val="21"/>
          <w:lang w:val="zh-CN" w:eastAsia="zh-CN"/>
        </w:rPr>
        <w:t>历史资料调查分析</w:t>
      </w:r>
      <w:r>
        <w:rPr>
          <w:rFonts w:hint="eastAsia" w:ascii="宋体" w:hAnsi="宋体" w:eastAsia="宋体" w:cs="宋体"/>
          <w:b w:val="0"/>
          <w:bCs w:val="0"/>
          <w:szCs w:val="21"/>
          <w:lang w:val="en-US" w:eastAsia="zh-CN"/>
        </w:rPr>
        <w:t>得到。</w:t>
      </w:r>
    </w:p>
    <w:bookmarkEnd w:id="12"/>
    <w:p>
      <w:pPr>
        <w:pageBreakBefore w:val="0"/>
        <w:kinsoku/>
        <w:wordWrap/>
        <w:overflowPunct/>
        <w:topLinePunct w:val="0"/>
        <w:bidi w:val="0"/>
        <w:spacing w:line="520" w:lineRule="exact"/>
        <w:ind w:firstLine="560" w:firstLineChars="200"/>
        <w:textAlignment w:val="auto"/>
        <w:rPr>
          <w:rFonts w:hint="eastAsia" w:ascii="宋体" w:hAnsi="宋体" w:eastAsia="宋体" w:cs="宋体"/>
          <w:b w:val="0"/>
          <w:bCs w:val="0"/>
          <w:sz w:val="28"/>
          <w:szCs w:val="28"/>
          <w:highlight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sz w:val="24"/>
          <w:szCs w:val="24"/>
          <w:highlight w:val="none"/>
          <w:lang w:val="en-US" w:eastAsia="zh-CN"/>
        </w:rPr>
        <w:t>通过对</w:t>
      </w:r>
      <w:r>
        <w:rPr>
          <w:rFonts w:hint="eastAsia" w:ascii="Times New Roman" w:hAnsi="Times New Roman" w:eastAsia="宋体" w:cs="Times New Roman"/>
          <w:color w:val="auto"/>
          <w:sz w:val="24"/>
          <w:szCs w:val="24"/>
          <w:highlight w:val="none"/>
          <w:lang w:val="en-US" w:eastAsia="zh-CN"/>
        </w:rPr>
        <w:t>生产工艺、源项调查情况、相关标准等的研判分析，初步确定地下水修复非放射性</w:t>
      </w:r>
      <w:r>
        <w:rPr>
          <w:rFonts w:hint="default" w:ascii="Times New Roman" w:hAnsi="Times New Roman" w:eastAsia="宋体" w:cs="Times New Roman"/>
          <w:color w:val="auto"/>
          <w:sz w:val="24"/>
          <w:szCs w:val="24"/>
          <w:highlight w:val="none"/>
          <w:lang w:val="en-US" w:eastAsia="zh-CN"/>
        </w:rPr>
        <w:t>特征因子</w:t>
      </w:r>
      <w:r>
        <w:rPr>
          <w:rFonts w:hint="eastAsia" w:ascii="Times New Roman" w:hAnsi="Times New Roman" w:eastAsia="宋体" w:cs="Times New Roman"/>
          <w:color w:val="auto"/>
          <w:sz w:val="24"/>
          <w:szCs w:val="24"/>
          <w:highlight w:val="none"/>
          <w:lang w:val="en-US" w:eastAsia="zh-CN"/>
        </w:rPr>
        <w:t>关注pH、硫酸盐、氯化物、铁、锰、铝、氨氮（以N计）、硝酸</w:t>
      </w:r>
      <w:r>
        <w:rPr>
          <w:rFonts w:hint="default" w:ascii="Times New Roman" w:hAnsi="Times New Roman" w:eastAsia="宋体" w:cs="Times New Roman"/>
          <w:color w:val="auto"/>
          <w:sz w:val="24"/>
          <w:szCs w:val="24"/>
          <w:highlight w:val="none"/>
          <w:lang w:val="en-US" w:eastAsia="zh-CN"/>
        </w:rPr>
        <w:t>盐</w:t>
      </w:r>
      <w:r>
        <w:rPr>
          <w:rFonts w:hint="eastAsia" w:ascii="Times New Roman" w:hAnsi="Times New Roman" w:eastAsia="宋体" w:cs="Times New Roman"/>
          <w:color w:val="auto"/>
          <w:sz w:val="24"/>
          <w:szCs w:val="24"/>
          <w:highlight w:val="none"/>
          <w:lang w:val="en-US" w:eastAsia="zh-CN"/>
        </w:rPr>
        <w:t>、氟化物、砷、硒、镉、铬等指标。其中</w:t>
      </w:r>
      <w:r>
        <w:rPr>
          <w:rFonts w:hint="default" w:ascii="Times New Roman" w:hAnsi="Times New Roman" w:eastAsia="宋体" w:cs="Times New Roman"/>
          <w:color w:val="auto"/>
          <w:sz w:val="24"/>
          <w:szCs w:val="24"/>
          <w:highlight w:val="none"/>
          <w:lang w:val="en-US" w:eastAsia="zh-CN"/>
        </w:rPr>
        <w:t>中性浸出应关注硫酸盐、氯化物、硒等</w:t>
      </w:r>
      <w:r>
        <w:rPr>
          <w:rFonts w:hint="eastAsia" w:ascii="Times New Roman" w:hAnsi="Times New Roman" w:eastAsia="宋体" w:cs="Times New Roman"/>
          <w:color w:val="auto"/>
          <w:sz w:val="24"/>
          <w:szCs w:val="24"/>
          <w:highlight w:val="none"/>
          <w:lang w:val="en-US" w:eastAsia="zh-CN"/>
        </w:rPr>
        <w:t>；酸法浸出应关注pH、硫酸盐、铁、锰、铝、氨氮（以N计）、硝酸盐（以N计）、氟化物、砷、镉、铬等。</w:t>
      </w:r>
      <w:r>
        <w:rPr>
          <w:rFonts w:hint="default" w:ascii="Times New Roman" w:hAnsi="Times New Roman" w:eastAsia="宋体" w:cs="Times New Roman"/>
          <w:color w:val="auto"/>
          <w:sz w:val="24"/>
          <w:szCs w:val="24"/>
          <w:highlight w:val="none"/>
          <w:lang w:val="en-US" w:eastAsia="zh-CN"/>
        </w:rPr>
        <w:t>开展地下水修复时，</w:t>
      </w:r>
      <w:r>
        <w:rPr>
          <w:rFonts w:hint="eastAsia" w:ascii="Times New Roman" w:hAnsi="Times New Roman" w:eastAsia="宋体" w:cs="Times New Roman"/>
          <w:color w:val="auto"/>
          <w:sz w:val="24"/>
          <w:szCs w:val="24"/>
          <w:highlight w:val="none"/>
          <w:lang w:val="en-US" w:eastAsia="zh-CN"/>
        </w:rPr>
        <w:t>应基于“一矿一策”原则，结合本底水平、源项调查结果等，进一步优化</w:t>
      </w:r>
      <w:r>
        <w:rPr>
          <w:rFonts w:hint="default" w:ascii="Times New Roman" w:hAnsi="Times New Roman" w:eastAsia="宋体" w:cs="Times New Roman"/>
          <w:color w:val="auto"/>
          <w:sz w:val="24"/>
          <w:szCs w:val="24"/>
          <w:highlight w:val="none"/>
          <w:lang w:val="en-US" w:eastAsia="zh-CN"/>
        </w:rPr>
        <w:t>筛选</w:t>
      </w:r>
      <w:r>
        <w:rPr>
          <w:rFonts w:hint="eastAsia" w:ascii="Times New Roman" w:hAnsi="Times New Roman" w:eastAsia="宋体" w:cs="Times New Roman"/>
          <w:color w:val="auto"/>
          <w:sz w:val="24"/>
          <w:szCs w:val="24"/>
          <w:highlight w:val="none"/>
          <w:lang w:val="en-US" w:eastAsia="zh-CN"/>
        </w:rPr>
        <w:t>，以</w:t>
      </w:r>
      <w:r>
        <w:rPr>
          <w:rFonts w:hint="default" w:ascii="Times New Roman" w:hAnsi="Times New Roman" w:eastAsia="宋体" w:cs="Times New Roman"/>
          <w:color w:val="auto"/>
          <w:sz w:val="24"/>
          <w:szCs w:val="24"/>
          <w:highlight w:val="none"/>
          <w:lang w:val="en-US" w:eastAsia="zh-CN"/>
        </w:rPr>
        <w:t>确定</w:t>
      </w:r>
      <w:r>
        <w:rPr>
          <w:rFonts w:hint="eastAsia" w:ascii="Times New Roman" w:hAnsi="Times New Roman" w:eastAsia="宋体" w:cs="Times New Roman"/>
          <w:color w:val="auto"/>
          <w:sz w:val="24"/>
          <w:szCs w:val="24"/>
          <w:highlight w:val="none"/>
          <w:lang w:val="en-US" w:eastAsia="zh-CN"/>
        </w:rPr>
        <w:t>特征因子</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黑体" w:hAnsi="黑体" w:eastAsia="黑体"/>
          <w:kern w:val="0"/>
          <w:sz w:val="24"/>
          <w:lang w:val="en-US" w:eastAsia="zh-CN"/>
        </w:rPr>
      </w:pPr>
      <w:r>
        <w:rPr>
          <w:rFonts w:hint="eastAsia" w:ascii="黑体" w:hAnsi="黑体" w:eastAsia="黑体"/>
          <w:kern w:val="0"/>
          <w:sz w:val="24"/>
          <w:lang w:val="en-US" w:eastAsia="zh-CN"/>
        </w:rPr>
        <w:t>2.4.3 修复范围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highlight w:val="none"/>
          <w:lang w:val="en-US" w:eastAsia="zh-CN"/>
        </w:rPr>
      </w:pPr>
      <w:bookmarkStart w:id="13" w:name="OLE_LINK8"/>
      <w:r>
        <w:rPr>
          <w:rFonts w:hint="eastAsia" w:ascii="Times New Roman" w:hAnsi="Times New Roman" w:eastAsia="宋体" w:cs="Times New Roman"/>
          <w:color w:val="auto"/>
          <w:sz w:val="24"/>
          <w:szCs w:val="24"/>
          <w:highlight w:val="none"/>
          <w:lang w:val="en-US" w:eastAsia="zh-CN"/>
        </w:rPr>
        <w:t>应结合水文地质特征、源项调查结果、监测井设置情况，确定地浸采铀地下水修复范围。地浸铀矿山地下水修复范围应考虑原开采区域边界内的含矿含水层区域及边界外延伸至监测井的区域；开采涉及多个含矿含水层的，应将多个含矿含水层纳入地下水修复范围。开采导致含矿含水层的上、下含水层超标的，还应将超标的含水层纳入地下水修复范围</w:t>
      </w:r>
      <w:r>
        <w:rPr>
          <w:rFonts w:hint="default" w:ascii="Times New Roman" w:hAnsi="Times New Roman" w:eastAsia="宋体" w:cs="Times New Roman"/>
          <w:color w:val="auto"/>
          <w:sz w:val="24"/>
          <w:szCs w:val="24"/>
          <w:highlight w:val="none"/>
          <w:lang w:val="en-US" w:eastAsia="zh-CN"/>
        </w:rPr>
        <w:t>。</w:t>
      </w:r>
    </w:p>
    <w:bookmarkEnd w:id="13"/>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hint="default" w:ascii="黑体" w:hAnsi="黑体" w:eastAsia="黑体"/>
          <w:kern w:val="0"/>
          <w:sz w:val="24"/>
          <w:lang w:val="en-US" w:eastAsia="zh-CN"/>
        </w:rPr>
      </w:pPr>
      <w:r>
        <w:rPr>
          <w:rFonts w:hint="eastAsia" w:ascii="黑体" w:hAnsi="黑体" w:eastAsia="黑体"/>
          <w:kern w:val="0"/>
          <w:sz w:val="24"/>
          <w:lang w:val="en-US" w:eastAsia="zh-CN"/>
        </w:rPr>
        <w:t>2</w:t>
      </w:r>
      <w:r>
        <w:rPr>
          <w:rFonts w:hint="eastAsia" w:ascii="黑体" w:hAnsi="黑体" w:eastAsia="黑体"/>
          <w:kern w:val="0"/>
          <w:sz w:val="24"/>
        </w:rPr>
        <w:t>.</w:t>
      </w:r>
      <w:r>
        <w:rPr>
          <w:rFonts w:hint="eastAsia" w:ascii="黑体" w:hAnsi="黑体" w:eastAsia="黑体"/>
          <w:kern w:val="0"/>
          <w:sz w:val="24"/>
          <w:lang w:val="en-US" w:eastAsia="zh-CN"/>
        </w:rPr>
        <w:t>5</w:t>
      </w:r>
      <w:r>
        <w:rPr>
          <w:rFonts w:hint="eastAsia" w:ascii="Times New Roman" w:hAnsi="Times New Roman" w:eastAsia="宋体" w:cs="Times New Roman"/>
          <w:kern w:val="0"/>
          <w:sz w:val="24"/>
          <w:szCs w:val="20"/>
          <w:lang w:val="en-US" w:eastAsia="zh-CN" w:bidi="ar-SA"/>
        </w:rPr>
        <w:t xml:space="preserve"> </w:t>
      </w:r>
      <w:r>
        <w:rPr>
          <w:rFonts w:hint="default" w:ascii="黑体" w:hAnsi="黑体" w:eastAsia="黑体"/>
          <w:kern w:val="0"/>
          <w:sz w:val="24"/>
          <w:lang w:val="en-US" w:eastAsia="zh-CN"/>
        </w:rPr>
        <w:t>地下水修复目标值</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Times New Roman" w:hAnsi="Times New Roman" w:eastAsia="宋体" w:cs="Times New Roman"/>
          <w:b/>
          <w:bCs/>
          <w:sz w:val="28"/>
          <w:szCs w:val="28"/>
          <w:highlight w:val="none"/>
          <w:lang w:val="en-US" w:eastAsia="zh-CN"/>
        </w:rPr>
      </w:pPr>
      <w:r>
        <w:rPr>
          <w:rFonts w:hint="eastAsia" w:ascii="黑体" w:hAnsi="黑体" w:eastAsia="黑体"/>
          <w:kern w:val="0"/>
          <w:sz w:val="24"/>
          <w:lang w:val="en-US" w:eastAsia="zh-CN"/>
        </w:rPr>
        <w:t>2.5.1 国外调研情况简介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国外对于地浸铀矿山地下水特征因子浓度限值或修复目标值的规定较少。调研了经济合作与发展核能机构（IECD/NEA）、国际原子能机构（IAEA）、美国、澳大利亚、加拿大、捷克、哈萨克斯坦、乌兹别克斯坦、乌克兰等国际组织或国家的地浸铀矿山地下水修复相关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IAEA于2016年发布的《地浸采铀：开采作业综述》（No.NF-T-1.4）中指出，在地浸采铀项目结束后，是否进行地下水修复主要取决于以下因素：现行监管要求；开采含水层采矿前的地下水本底水质；该含水层既定或规划的最终用途；开采含水层与其他地下水资源、用水者或周边环境的连通性；残留浸出液或废水发生迁移的风险程度。报告提到，在地浸采铀工程中，除监控式自然衰减外，是否无需开展额外修复，一直是矿山企业、监管部门、外部利益相关方及非政府组织争论的焦点。若确定需要修复，水质修复目标同样存在争议：一类观点认为仅需满足特定用水类别标准（例如可作为牲畜饮用水、生活饮用水，无论是否需后续深度处理），另一类观点认为要将水质恢复至本底水平（或在规定范围内接近本底水质）。此外，报告还分别给出了需要开展修复、无需开展修复的场景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美国是开展地下水修复最早的国家之一，也是开展地下水修复研究和工程实践最多的国家。目前美国核管理委员会（NRC）将地浸采铀地下水修复目标分为三个层次：基本标准（本底水平）、次级标准（地浸采铀前水质用途所对应的水质标准）和修正标准（无健康和安全威胁）；美国环境保护署（EPA）和NRC对铀矿厂运营及尾矿处置过程中周边地下水也设置了三级标准：①达到本底浓度；②不得超过推荐值；③替代浓度限值（对人类和环境无危害）。地下水修复指标包括放射性特征因子和非放射性特征因子。美国怀俄明州地浸铀矿山地下水修复执行本州的地下水质量标准，现行最新的标准中没有涉及铀，硒为0.05mg/L；而1993年-2005年期间执行的标准规定了铀浓度为5mg/L，硒也为0.05mg/L。2018年，怀俄明州的Smith Ranch-Highland矿山申请为1号矿场单元设定特定场地的替代浓度限值（ACL），其中铀的替代浓度限值为51mg/L，硒的替代浓度限值为0.2mg/L，NRC批准了该申请。美国德克萨斯州22个生产授权区（PAA）井场地下水中铀的修复目标值设定在0.29-5mg/L之间，其中19个设定在2mg/L及以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24"/>
          <w:lang w:val="en-US" w:eastAsia="zh-CN"/>
        </w:rPr>
      </w:pPr>
      <w:r>
        <w:rPr>
          <w:rFonts w:hint="eastAsia" w:ascii="Times New Roman" w:hAnsi="Times New Roman" w:eastAsia="宋体" w:cs="Times New Roman"/>
          <w:sz w:val="24"/>
          <w:szCs w:val="24"/>
          <w:highlight w:val="none"/>
          <w:lang w:val="en-US" w:eastAsia="zh-CN"/>
        </w:rPr>
        <w:t>澳大利亚规定，如果地浸铀矿山含水层原已满足国家水质管理导则规定的相关水质标准，应保障所有超出采场限制区外的下游地下水维持原有的水质类型，除非另有规定与利益相关方达成一致或经过管</w:t>
      </w:r>
      <w:r>
        <w:rPr>
          <w:sz w:val="24"/>
          <w:szCs w:val="24"/>
        </w:rPr>
        <w:t>理部门许可。捷克在地浸铀矿山地下水修复实践中</w:t>
      </w:r>
      <w:r>
        <w:rPr>
          <w:rFonts w:hint="eastAsia"/>
          <w:sz w:val="24"/>
          <w:szCs w:val="24"/>
          <w:lang w:val="en-US" w:eastAsia="zh-CN"/>
        </w:rPr>
        <w:t>通过“风险分析”</w:t>
      </w:r>
      <w:r>
        <w:rPr>
          <w:sz w:val="24"/>
          <w:szCs w:val="24"/>
        </w:rPr>
        <w:t>探索给出地下水</w:t>
      </w:r>
      <w:r>
        <w:rPr>
          <w:rFonts w:hint="eastAsia"/>
          <w:sz w:val="24"/>
          <w:szCs w:val="24"/>
          <w:lang w:val="en-US" w:eastAsia="zh-CN"/>
        </w:rPr>
        <w:t>修复</w:t>
      </w:r>
      <w:r>
        <w:rPr>
          <w:sz w:val="24"/>
          <w:szCs w:val="24"/>
        </w:rPr>
        <w:t>部</w:t>
      </w:r>
      <w:r>
        <w:rPr>
          <w:rFonts w:hint="default" w:ascii="Times New Roman" w:hAnsi="Times New Roman" w:cs="Times New Roman"/>
          <w:sz w:val="24"/>
          <w:szCs w:val="24"/>
        </w:rPr>
        <w:t>分参数的限值</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其中</w:t>
      </w:r>
      <w:r>
        <w:rPr>
          <w:rFonts w:hint="default" w:ascii="Times New Roman" w:hAnsi="Times New Roman" w:cs="Times New Roman"/>
          <w:sz w:val="24"/>
          <w:szCs w:val="24"/>
        </w:rPr>
        <w:t>SO</w:t>
      </w:r>
      <w:r>
        <w:rPr>
          <w:rFonts w:hint="default" w:ascii="Times New Roman" w:hAnsi="Times New Roman" w:cs="Times New Roman"/>
          <w:sz w:val="24"/>
          <w:szCs w:val="24"/>
          <w:vertAlign w:val="subscript"/>
        </w:rPr>
        <w:t>4</w:t>
      </w:r>
      <w:r>
        <w:rPr>
          <w:rFonts w:hint="default" w:ascii="Times New Roman" w:hAnsi="Times New Roman" w:cs="Times New Roman"/>
          <w:sz w:val="24"/>
          <w:szCs w:val="24"/>
          <w:vertAlign w:val="superscript"/>
        </w:rPr>
        <w:t>2-</w:t>
      </w:r>
      <w:r>
        <w:rPr>
          <w:rFonts w:hint="eastAsia" w:ascii="Times New Roman" w:hAnsi="Times New Roman" w:cs="Times New Roman"/>
          <w:sz w:val="24"/>
          <w:szCs w:val="24"/>
          <w:lang w:val="en-US" w:eastAsia="zh-CN"/>
        </w:rPr>
        <w:t>中值为6000</w:t>
      </w:r>
      <w:r>
        <w:rPr>
          <w:rFonts w:hint="eastAsia" w:ascii="Times New Roman" w:hAnsi="Times New Roman" w:eastAsia="宋体" w:cs="Times New Roman"/>
          <w:sz w:val="24"/>
          <w:szCs w:val="24"/>
          <w:highlight w:val="none"/>
          <w:lang w:val="en-US" w:eastAsia="zh-CN"/>
        </w:rPr>
        <w:t>mg/L</w:t>
      </w:r>
      <w:r>
        <w:rPr>
          <w:rFonts w:hint="eastAsia" w:ascii="Times New Roman" w:hAnsi="Times New Roman" w:cs="Times New Roman"/>
          <w:sz w:val="24"/>
          <w:szCs w:val="24"/>
          <w:lang w:val="en-US" w:eastAsia="zh-CN"/>
        </w:rPr>
        <w:t>，最大可接受值为18000</w:t>
      </w:r>
      <w:r>
        <w:rPr>
          <w:rFonts w:hint="eastAsia" w:ascii="Times New Roman" w:hAnsi="Times New Roman" w:eastAsia="宋体" w:cs="Times New Roman"/>
          <w:sz w:val="24"/>
          <w:szCs w:val="24"/>
          <w:highlight w:val="none"/>
          <w:lang w:val="en-US" w:eastAsia="zh-CN"/>
        </w:rPr>
        <w:t>mg/L。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美国SRH、R&amp;D、Nine Mile、B.Reno Creek、Crow Butte等地浸铀矿山，以及德克萨斯州22个生产授权区（PAA）井场的地浸铀矿山地下水修复实验或工程实践表明，开展地浸铀矿山工业生产的终采区地下水无法通过修复达到开采前的本底水平；不同地浸铀矿山水文地质条件不同，修复技术、修复成本及修复效果差异较大，地下水修复实践中应该结合具体情况具体分析。捷克Stráž铀矿采用酸法地浸开采工艺，污染非常严重，该矿山1996年开始开展环境治理和地下水修复，工程预计于2037年达到目标值，修复过程的总费用预计高达20亿欧元。哈萨克斯坦Irkol矿山以酸法地浸采铀，之后进行自然衰减修复。自然衰减修复13年后，地浸区域含水层几乎恢复到采矿前的水文地球化学状态。乌兹别克斯坦Bukinai铀矿山采用酸法地浸工艺开采，之后通过自然衰减开展地下水修复，11年后地下水环境得到很大改善。估计至少还需要15-20a地下水才能接近本底。</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黑体" w:hAnsi="黑体" w:eastAsia="黑体"/>
          <w:kern w:val="0"/>
          <w:sz w:val="24"/>
          <w:lang w:val="en-US" w:eastAsia="zh-CN"/>
        </w:rPr>
      </w:pPr>
      <w:r>
        <w:rPr>
          <w:rFonts w:hint="eastAsia" w:ascii="黑体" w:hAnsi="黑体" w:eastAsia="黑体"/>
          <w:kern w:val="0"/>
          <w:sz w:val="24"/>
          <w:lang w:val="en-US" w:eastAsia="zh-CN"/>
        </w:rPr>
        <w:t xml:space="preserve">2.5.2 </w:t>
      </w:r>
      <w:r>
        <w:rPr>
          <w:rFonts w:hint="default" w:ascii="黑体" w:hAnsi="黑体" w:eastAsia="黑体"/>
          <w:kern w:val="0"/>
          <w:sz w:val="24"/>
          <w:lang w:val="en-US" w:eastAsia="zh-CN"/>
        </w:rPr>
        <w:t>放射性特征因子目标值</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地浸铀矿</w:t>
      </w:r>
      <w:r>
        <w:rPr>
          <w:rFonts w:hint="eastAsia" w:ascii="Times New Roman" w:hAnsi="Times New Roman" w:eastAsia="宋体" w:cs="Times New Roman"/>
          <w:sz w:val="24"/>
          <w:szCs w:val="24"/>
          <w:lang w:val="en-US" w:eastAsia="zh-CN"/>
        </w:rPr>
        <w:t>山</w:t>
      </w:r>
      <w:r>
        <w:rPr>
          <w:rFonts w:hint="default" w:ascii="Times New Roman" w:hAnsi="Times New Roman" w:eastAsia="宋体" w:cs="Times New Roman"/>
          <w:sz w:val="24"/>
          <w:szCs w:val="24"/>
        </w:rPr>
        <w:t>含矿含水层为深部承压含水层，</w:t>
      </w:r>
      <w:r>
        <w:rPr>
          <w:rFonts w:hint="default" w:ascii="Times New Roman" w:hAnsi="Times New Roman" w:eastAsia="宋体" w:cs="Times New Roman"/>
          <w:sz w:val="24"/>
          <w:szCs w:val="24"/>
          <w:lang w:val="en-US" w:eastAsia="zh-CN"/>
        </w:rPr>
        <w:t>一般不作为</w:t>
      </w:r>
      <w:r>
        <w:rPr>
          <w:rFonts w:hint="default" w:ascii="Times New Roman" w:hAnsi="Times New Roman" w:eastAsia="宋体" w:cs="Times New Roman"/>
          <w:sz w:val="24"/>
          <w:szCs w:val="24"/>
        </w:rPr>
        <w:t>饮用水源的供水层位。</w:t>
      </w:r>
      <w:r>
        <w:rPr>
          <w:rFonts w:hint="default" w:ascii="Times New Roman" w:hAnsi="Times New Roman" w:eastAsia="宋体" w:cs="Times New Roman"/>
          <w:sz w:val="24"/>
          <w:szCs w:val="24"/>
          <w:lang w:val="en-US" w:eastAsia="zh-CN"/>
        </w:rPr>
        <w:t>若相关</w:t>
      </w:r>
      <w:r>
        <w:rPr>
          <w:rFonts w:hint="default" w:ascii="Times New Roman" w:hAnsi="Times New Roman" w:eastAsia="宋体" w:cs="Times New Roman"/>
          <w:sz w:val="24"/>
          <w:szCs w:val="24"/>
        </w:rPr>
        <w:t>规划</w:t>
      </w:r>
      <w:r>
        <w:rPr>
          <w:rFonts w:hint="default" w:ascii="Times New Roman" w:hAnsi="Times New Roman" w:eastAsia="宋体" w:cs="Times New Roman"/>
          <w:sz w:val="24"/>
          <w:szCs w:val="24"/>
          <w:lang w:val="en-US" w:eastAsia="zh-CN"/>
        </w:rPr>
        <w:t>或</w:t>
      </w:r>
      <w:r>
        <w:rPr>
          <w:rFonts w:hint="default" w:ascii="Times New Roman" w:hAnsi="Times New Roman" w:eastAsia="宋体" w:cs="Times New Roman"/>
          <w:sz w:val="24"/>
          <w:szCs w:val="24"/>
        </w:rPr>
        <w:t>潜在使用</w:t>
      </w:r>
      <w:r>
        <w:rPr>
          <w:rFonts w:hint="eastAsia" w:ascii="Times New Roman" w:hAnsi="Times New Roman" w:eastAsia="宋体" w:cs="Times New Roman"/>
          <w:sz w:val="24"/>
          <w:szCs w:val="24"/>
          <w:lang w:val="en-US" w:eastAsia="zh-CN"/>
        </w:rPr>
        <w:t>功能</w:t>
      </w:r>
      <w:r>
        <w:rPr>
          <w:rFonts w:hint="default" w:ascii="Times New Roman" w:hAnsi="Times New Roman" w:eastAsia="宋体" w:cs="Times New Roman"/>
          <w:sz w:val="24"/>
          <w:szCs w:val="24"/>
          <w:lang w:val="en-US" w:eastAsia="zh-CN"/>
        </w:rPr>
        <w:t>中</w:t>
      </w:r>
      <w:r>
        <w:rPr>
          <w:rFonts w:hint="eastAsia" w:ascii="Times New Roman" w:hAnsi="Times New Roman" w:eastAsia="宋体" w:cs="Times New Roman"/>
          <w:sz w:val="24"/>
          <w:szCs w:val="24"/>
        </w:rPr>
        <w:t>涉及</w:t>
      </w:r>
      <w:r>
        <w:rPr>
          <w:rFonts w:hint="eastAsia" w:ascii="Times New Roman" w:hAnsi="Times New Roman" w:eastAsia="宋体" w:cs="Times New Roman"/>
          <w:sz w:val="24"/>
          <w:szCs w:val="24"/>
          <w:lang w:val="en-US" w:eastAsia="zh-CN"/>
        </w:rPr>
        <w:t>生活饮用水的</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暴露</w:t>
      </w:r>
      <w:r>
        <w:rPr>
          <w:rFonts w:hint="eastAsia" w:ascii="Times New Roman" w:hAnsi="Times New Roman" w:eastAsia="宋体" w:cs="Times New Roman"/>
          <w:sz w:val="24"/>
          <w:szCs w:val="24"/>
        </w:rPr>
        <w:t>途径主要为饮水</w:t>
      </w:r>
      <w:r>
        <w:rPr>
          <w:rFonts w:hint="eastAsia" w:ascii="Times New Roman" w:hAnsi="Times New Roman" w:eastAsia="宋体" w:cs="Times New Roman"/>
          <w:sz w:val="24"/>
          <w:szCs w:val="24"/>
          <w:lang w:val="en-US" w:eastAsia="zh-CN"/>
        </w:rPr>
        <w:t>途径</w:t>
      </w:r>
      <w:r>
        <w:rPr>
          <w:rFonts w:hint="default" w:ascii="Times New Roman" w:hAnsi="Times New Roman" w:eastAsia="宋体" w:cs="Times New Roman"/>
          <w:sz w:val="24"/>
          <w:szCs w:val="24"/>
          <w:lang w:val="en-US" w:eastAsia="zh-CN"/>
        </w:rPr>
        <w:t>，应执行《生活饮用水卫生标准》（</w:t>
      </w:r>
      <w:r>
        <w:rPr>
          <w:rFonts w:hint="default" w:ascii="Times New Roman" w:hAnsi="Times New Roman" w:eastAsia="宋体" w:cs="Times New Roman"/>
          <w:sz w:val="24"/>
          <w:szCs w:val="24"/>
        </w:rPr>
        <w:t>GB</w:t>
      </w:r>
      <w:r>
        <w:rPr>
          <w:rFonts w:hint="default" w:ascii="Times New Roman" w:hAnsi="Times New Roman" w:eastAsia="宋体" w:cs="Times New Roman"/>
          <w:sz w:val="24"/>
          <w:szCs w:val="24"/>
          <w:lang w:val="en-US" w:eastAsia="zh-CN"/>
        </w:rPr>
        <w:t>5749-2022）限值要求</w:t>
      </w:r>
      <w:r>
        <w:rPr>
          <w:rFonts w:hint="eastAsia" w:ascii="Times New Roman" w:hAnsi="Times New Roman" w:eastAsia="宋体" w:cs="Times New Roman"/>
          <w:sz w:val="24"/>
          <w:szCs w:val="24"/>
          <w:lang w:val="en-US" w:eastAsia="zh-CN"/>
        </w:rPr>
        <w:t>，即铀不超过0.03</w:t>
      </w:r>
      <w:r>
        <w:rPr>
          <w:rFonts w:hint="default" w:ascii="Times New Roman" w:hAnsi="Times New Roman" w:eastAsia="宋体" w:cs="Times New Roman"/>
          <w:sz w:val="24"/>
          <w:szCs w:val="24"/>
          <w:lang w:val="en-US" w:eastAsia="zh-CN"/>
        </w:rPr>
        <w:t>mg/L、</w:t>
      </w:r>
      <w:r>
        <w:rPr>
          <w:rFonts w:hint="eastAsia" w:ascii="Times New Roman" w:hAnsi="Times New Roman" w:eastAsia="宋体" w:cs="Times New Roman"/>
          <w:sz w:val="24"/>
          <w:szCs w:val="24"/>
          <w:lang w:val="en-US" w:eastAsia="zh-CN"/>
        </w:rPr>
        <w:t>镭-226不超过1Bq</w:t>
      </w:r>
      <w:r>
        <w:rPr>
          <w:rFonts w:hint="default" w:ascii="Times New Roman" w:hAnsi="Times New Roman" w:eastAsia="宋体" w:cs="Times New Roman"/>
          <w:sz w:val="24"/>
          <w:szCs w:val="24"/>
          <w:lang w:val="en-US" w:eastAsia="zh-CN"/>
        </w:rPr>
        <w:t>/L</w:t>
      </w:r>
      <w:r>
        <w:rPr>
          <w:rFonts w:hint="eastAsia" w:ascii="Times New Roman" w:hAnsi="Times New Roman" w:eastAsia="宋体" w:cs="Times New Roman"/>
          <w:sz w:val="24"/>
          <w:szCs w:val="24"/>
          <w:lang w:val="en-US" w:eastAsia="zh-CN"/>
        </w:rPr>
        <w:t>。</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bidi="ar"/>
        </w:rPr>
        <w:t>根据当前国内地浸</w:t>
      </w:r>
      <w:r>
        <w:rPr>
          <w:rFonts w:hint="default" w:ascii="Times New Roman" w:hAnsi="Times New Roman" w:eastAsia="宋体" w:cs="Times New Roman"/>
          <w:kern w:val="0"/>
          <w:sz w:val="24"/>
          <w:szCs w:val="24"/>
          <w:lang w:val="en-US" w:eastAsia="zh-CN" w:bidi="ar"/>
        </w:rPr>
        <w:t>铀</w:t>
      </w:r>
      <w:r>
        <w:rPr>
          <w:rFonts w:hint="default" w:ascii="Times New Roman" w:hAnsi="Times New Roman" w:eastAsia="宋体" w:cs="Times New Roman"/>
          <w:kern w:val="0"/>
          <w:sz w:val="24"/>
          <w:szCs w:val="24"/>
          <w:lang w:bidi="ar"/>
        </w:rPr>
        <w:t>矿</w:t>
      </w:r>
      <w:r>
        <w:rPr>
          <w:rFonts w:hint="eastAsia" w:ascii="Times New Roman" w:hAnsi="Times New Roman" w:eastAsia="宋体" w:cs="Times New Roman"/>
          <w:kern w:val="0"/>
          <w:sz w:val="24"/>
          <w:szCs w:val="24"/>
          <w:lang w:val="en-US" w:eastAsia="zh-CN" w:bidi="ar"/>
        </w:rPr>
        <w:t>山</w:t>
      </w:r>
      <w:r>
        <w:rPr>
          <w:rFonts w:hint="default" w:ascii="Times New Roman" w:hAnsi="Times New Roman" w:eastAsia="宋体" w:cs="Times New Roman"/>
          <w:kern w:val="0"/>
          <w:sz w:val="24"/>
          <w:szCs w:val="24"/>
          <w:lang w:bidi="ar"/>
        </w:rPr>
        <w:t>所处的自然环境和社会环境情况来看，其主要位于偏远地区，人口密度低，含矿含水层</w:t>
      </w:r>
      <w:r>
        <w:rPr>
          <w:rFonts w:hint="default" w:ascii="Times New Roman" w:hAnsi="Times New Roman" w:eastAsia="宋体" w:cs="Times New Roman"/>
          <w:kern w:val="0"/>
          <w:sz w:val="24"/>
          <w:szCs w:val="24"/>
          <w:lang w:val="en-US" w:eastAsia="zh-CN" w:bidi="ar"/>
        </w:rPr>
        <w:t>地下水大多无使用</w:t>
      </w:r>
      <w:r>
        <w:rPr>
          <w:rFonts w:hint="eastAsia" w:ascii="Times New Roman" w:hAnsi="Times New Roman" w:eastAsia="宋体" w:cs="Times New Roman"/>
          <w:kern w:val="0"/>
          <w:sz w:val="24"/>
          <w:szCs w:val="24"/>
          <w:lang w:val="en-US" w:eastAsia="zh-CN" w:bidi="ar"/>
        </w:rPr>
        <w:t>功能</w:t>
      </w:r>
      <w:r>
        <w:rPr>
          <w:rFonts w:hint="default" w:ascii="Times New Roman" w:hAnsi="Times New Roman" w:eastAsia="宋体" w:cs="Times New Roman"/>
          <w:kern w:val="0"/>
          <w:sz w:val="24"/>
          <w:szCs w:val="24"/>
          <w:lang w:val="en-US" w:eastAsia="zh-CN" w:bidi="ar"/>
        </w:rPr>
        <w:t>，这里保守考虑</w:t>
      </w:r>
      <w:r>
        <w:rPr>
          <w:rFonts w:hint="default" w:ascii="Times New Roman" w:hAnsi="Times New Roman" w:eastAsia="宋体" w:cs="Times New Roman"/>
          <w:kern w:val="0"/>
          <w:sz w:val="24"/>
          <w:szCs w:val="24"/>
          <w:lang w:bidi="ar"/>
        </w:rPr>
        <w:t>农业用水</w:t>
      </w:r>
      <w:r>
        <w:rPr>
          <w:rFonts w:hint="default" w:ascii="Times New Roman" w:hAnsi="Times New Roman" w:eastAsia="宋体" w:cs="Times New Roman"/>
          <w:kern w:val="0"/>
          <w:sz w:val="24"/>
          <w:szCs w:val="24"/>
          <w:lang w:val="en-US" w:eastAsia="zh-CN" w:bidi="ar"/>
        </w:rPr>
        <w:t>情况，暴露</w:t>
      </w:r>
      <w:r>
        <w:rPr>
          <w:rFonts w:hint="default" w:ascii="Times New Roman" w:hAnsi="Times New Roman" w:eastAsia="宋体" w:cs="Times New Roman"/>
          <w:kern w:val="0"/>
          <w:sz w:val="24"/>
          <w:szCs w:val="24"/>
          <w:lang w:bidi="ar"/>
        </w:rPr>
        <w:t>途径</w:t>
      </w:r>
      <w:r>
        <w:rPr>
          <w:rFonts w:hint="eastAsia" w:ascii="Times New Roman" w:hAnsi="Times New Roman" w:eastAsia="宋体" w:cs="Times New Roman"/>
          <w:kern w:val="0"/>
          <w:sz w:val="24"/>
          <w:szCs w:val="24"/>
          <w:lang w:val="en-US" w:eastAsia="zh-CN" w:bidi="ar"/>
        </w:rPr>
        <w:t>首先是灌溉途径，</w:t>
      </w:r>
      <w:r>
        <w:rPr>
          <w:rFonts w:hint="default" w:ascii="Times New Roman" w:hAnsi="Times New Roman" w:eastAsia="宋体" w:cs="Times New Roman"/>
          <w:kern w:val="0"/>
          <w:sz w:val="24"/>
          <w:szCs w:val="24"/>
          <w:lang w:bidi="ar"/>
        </w:rPr>
        <w:t>主要</w:t>
      </w:r>
      <w:r>
        <w:rPr>
          <w:rFonts w:hint="eastAsia" w:ascii="Times New Roman" w:hAnsi="Times New Roman" w:eastAsia="宋体" w:cs="Times New Roman"/>
          <w:kern w:val="0"/>
          <w:sz w:val="24"/>
          <w:szCs w:val="24"/>
          <w:lang w:val="en-US" w:eastAsia="zh-CN" w:bidi="ar"/>
        </w:rPr>
        <w:t>途径</w:t>
      </w:r>
      <w:r>
        <w:rPr>
          <w:rFonts w:hint="default" w:ascii="Times New Roman" w:hAnsi="Times New Roman" w:eastAsia="宋体" w:cs="Times New Roman"/>
          <w:kern w:val="0"/>
          <w:sz w:val="24"/>
          <w:szCs w:val="24"/>
          <w:lang w:bidi="ar"/>
        </w:rPr>
        <w:t>为</w:t>
      </w:r>
      <w:r>
        <w:rPr>
          <w:rFonts w:hint="eastAsia" w:ascii="Times New Roman" w:hAnsi="Times New Roman" w:eastAsia="宋体" w:cs="Times New Roman"/>
          <w:kern w:val="0"/>
          <w:sz w:val="24"/>
          <w:szCs w:val="24"/>
          <w:lang w:val="en-US" w:eastAsia="zh-CN" w:bidi="ar"/>
        </w:rPr>
        <w:t>食入</w:t>
      </w:r>
      <w:r>
        <w:rPr>
          <w:rFonts w:hint="default" w:ascii="Times New Roman" w:hAnsi="Times New Roman" w:eastAsia="宋体" w:cs="Times New Roman"/>
          <w:kern w:val="0"/>
          <w:sz w:val="24"/>
          <w:szCs w:val="24"/>
          <w:lang w:val="en-US" w:eastAsia="zh-CN" w:bidi="ar"/>
        </w:rPr>
        <w:t>途径</w:t>
      </w:r>
      <w:r>
        <w:rPr>
          <w:rFonts w:hint="eastAsia" w:ascii="Times New Roman" w:hAnsi="Times New Roman" w:eastAsia="宋体" w:cs="Times New Roman"/>
          <w:kern w:val="0"/>
          <w:sz w:val="24"/>
          <w:szCs w:val="24"/>
          <w:lang w:val="en-US" w:eastAsia="zh-CN" w:bidi="ar"/>
        </w:rPr>
        <w:t>：灌溉农作物，农作物产品被人类食入</w:t>
      </w:r>
      <w:r>
        <w:rPr>
          <w:rFonts w:hint="default" w:ascii="Times New Roman" w:hAnsi="Times New Roman" w:eastAsia="宋体" w:cs="Times New Roman"/>
          <w:kern w:val="0"/>
          <w:sz w:val="24"/>
          <w:szCs w:val="24"/>
          <w:lang w:val="en-US" w:eastAsia="zh-CN" w:bidi="ar"/>
        </w:rPr>
        <w:t>；</w:t>
      </w:r>
      <w:r>
        <w:rPr>
          <w:rFonts w:hint="eastAsia" w:ascii="Times New Roman" w:hAnsi="Times New Roman" w:eastAsia="宋体" w:cs="Times New Roman"/>
          <w:kern w:val="0"/>
          <w:sz w:val="24"/>
          <w:szCs w:val="24"/>
          <w:lang w:val="en-US" w:eastAsia="zh-CN" w:bidi="ar"/>
        </w:rPr>
        <w:t>灌溉农作物，农作物被动物食入，动物产品被人类食入</w:t>
      </w:r>
      <w:r>
        <w:rPr>
          <w:rFonts w:hint="default" w:ascii="Times New Roman" w:hAnsi="Times New Roman" w:eastAsia="宋体" w:cs="Times New Roman"/>
          <w:kern w:val="0"/>
          <w:sz w:val="24"/>
          <w:szCs w:val="24"/>
          <w:lang w:val="en-US" w:eastAsia="zh-CN" w:bidi="ar"/>
        </w:rPr>
        <w:t>；</w:t>
      </w:r>
      <w:r>
        <w:rPr>
          <w:rFonts w:hint="eastAsia" w:ascii="Times New Roman" w:hAnsi="Times New Roman" w:eastAsia="宋体" w:cs="Times New Roman"/>
          <w:kern w:val="0"/>
          <w:sz w:val="24"/>
          <w:szCs w:val="24"/>
          <w:lang w:val="en-US" w:eastAsia="zh-CN" w:bidi="ar"/>
        </w:rPr>
        <w:t>动物饮水，动物产品被人类食入。地下水使用功能涉及工业用水中非食品工业用水的，可保守按照农业用水考虑；涉及工业用水中食品工业用水的，可保守按照生活饮用水考虑，调研显示这类情况目前基本不涉及。</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kern w:val="0"/>
          <w:sz w:val="24"/>
          <w:szCs w:val="24"/>
          <w:lang w:bidi="ar"/>
        </w:rPr>
      </w:pPr>
      <w:r>
        <w:rPr>
          <w:rFonts w:hint="default" w:ascii="Times New Roman" w:hAnsi="Times New Roman" w:eastAsia="宋体" w:cs="Times New Roman"/>
          <w:kern w:val="0"/>
          <w:sz w:val="24"/>
          <w:szCs w:val="24"/>
          <w:lang w:val="en-US" w:eastAsia="zh-CN" w:bidi="ar"/>
        </w:rPr>
        <w:t>借鉴</w:t>
      </w:r>
      <w:r>
        <w:rPr>
          <w:rFonts w:hint="default" w:ascii="Times New Roman" w:hAnsi="Times New Roman" w:eastAsia="宋体" w:cs="Times New Roman"/>
          <w:kern w:val="0"/>
          <w:sz w:val="24"/>
          <w:szCs w:val="24"/>
          <w:lang w:bidi="ar"/>
        </w:rPr>
        <w:t>美国</w:t>
      </w:r>
      <w:r>
        <w:rPr>
          <w:rFonts w:hint="default" w:ascii="Times New Roman" w:hAnsi="Times New Roman" w:eastAsia="宋体" w:cs="Times New Roman"/>
          <w:kern w:val="0"/>
          <w:sz w:val="24"/>
          <w:szCs w:val="24"/>
          <w:lang w:val="en-US" w:eastAsia="zh-CN" w:bidi="ar"/>
        </w:rPr>
        <w:t>关于地浸</w:t>
      </w:r>
      <w:r>
        <w:rPr>
          <w:rFonts w:hint="eastAsia" w:ascii="Times New Roman" w:hAnsi="Times New Roman" w:eastAsia="宋体" w:cs="Times New Roman"/>
          <w:kern w:val="0"/>
          <w:sz w:val="24"/>
          <w:szCs w:val="24"/>
          <w:lang w:val="en-US" w:eastAsia="zh-CN" w:bidi="ar"/>
        </w:rPr>
        <w:t>采</w:t>
      </w:r>
      <w:r>
        <w:rPr>
          <w:rFonts w:hint="default" w:ascii="Times New Roman" w:hAnsi="Times New Roman" w:eastAsia="宋体" w:cs="Times New Roman"/>
          <w:kern w:val="0"/>
          <w:sz w:val="24"/>
          <w:szCs w:val="24"/>
          <w:lang w:val="en-US" w:eastAsia="zh-CN" w:bidi="ar"/>
        </w:rPr>
        <w:t>铀</w:t>
      </w:r>
      <w:r>
        <w:rPr>
          <w:rFonts w:hint="default" w:ascii="Times New Roman" w:hAnsi="Times New Roman" w:eastAsia="宋体" w:cs="Times New Roman"/>
          <w:kern w:val="0"/>
          <w:sz w:val="24"/>
          <w:szCs w:val="24"/>
          <w:lang w:bidi="ar"/>
        </w:rPr>
        <w:t>地下水典型元素</w:t>
      </w:r>
      <w:r>
        <w:rPr>
          <w:rFonts w:hint="eastAsia" w:ascii="Times New Roman" w:hAnsi="Times New Roman" w:eastAsia="宋体" w:cs="Times New Roman"/>
          <w:kern w:val="0"/>
          <w:sz w:val="24"/>
          <w:szCs w:val="24"/>
          <w:lang w:val="en-US" w:eastAsia="zh-CN" w:bidi="ar"/>
        </w:rPr>
        <w:t>风险计算</w:t>
      </w:r>
      <w:r>
        <w:rPr>
          <w:rFonts w:hint="default" w:ascii="Times New Roman" w:hAnsi="Times New Roman" w:eastAsia="宋体" w:cs="Times New Roman"/>
          <w:kern w:val="0"/>
          <w:sz w:val="24"/>
          <w:szCs w:val="24"/>
          <w:lang w:val="en-US" w:eastAsia="zh-CN" w:bidi="ar"/>
        </w:rPr>
        <w:t>的推荐模型</w:t>
      </w:r>
      <w:r>
        <w:rPr>
          <w:rFonts w:hint="default" w:ascii="Times New Roman" w:hAnsi="Times New Roman" w:eastAsia="宋体" w:cs="Times New Roman"/>
          <w:kern w:val="0"/>
          <w:sz w:val="24"/>
          <w:szCs w:val="24"/>
          <w:lang w:bidi="ar"/>
        </w:rPr>
        <w:t>，</w:t>
      </w:r>
      <w:r>
        <w:rPr>
          <w:rFonts w:hint="default" w:ascii="Times New Roman" w:hAnsi="Times New Roman" w:eastAsia="宋体" w:cs="Times New Roman"/>
          <w:kern w:val="0"/>
          <w:sz w:val="24"/>
          <w:szCs w:val="24"/>
          <w:lang w:val="en-US" w:eastAsia="zh-CN" w:bidi="ar"/>
        </w:rPr>
        <w:t>结合放射性特征因子</w:t>
      </w:r>
      <w:r>
        <w:rPr>
          <w:rFonts w:hint="default" w:ascii="Times New Roman" w:hAnsi="Times New Roman" w:eastAsia="宋体" w:cs="Times New Roman"/>
          <w:kern w:val="0"/>
          <w:sz w:val="24"/>
          <w:szCs w:val="24"/>
          <w:lang w:bidi="ar"/>
        </w:rPr>
        <w:t>暴露途径及其</w:t>
      </w:r>
      <w:r>
        <w:rPr>
          <w:rFonts w:hint="default" w:ascii="Times New Roman" w:hAnsi="Times New Roman" w:eastAsia="宋体" w:cs="Times New Roman"/>
          <w:kern w:val="0"/>
          <w:sz w:val="24"/>
          <w:szCs w:val="24"/>
          <w:lang w:val="en-US" w:eastAsia="zh-CN" w:bidi="ar"/>
        </w:rPr>
        <w:t>致病（癌）</w:t>
      </w:r>
      <w:r>
        <w:rPr>
          <w:rFonts w:hint="default" w:ascii="Times New Roman" w:hAnsi="Times New Roman" w:eastAsia="宋体" w:cs="Times New Roman"/>
          <w:kern w:val="0"/>
          <w:sz w:val="24"/>
          <w:szCs w:val="24"/>
          <w:lang w:bidi="ar"/>
        </w:rPr>
        <w:t>风险</w:t>
      </w:r>
      <w:r>
        <w:rPr>
          <w:rFonts w:hint="default" w:ascii="Times New Roman" w:hAnsi="Times New Roman" w:eastAsia="宋体" w:cs="Times New Roman"/>
          <w:kern w:val="0"/>
          <w:sz w:val="24"/>
          <w:szCs w:val="24"/>
          <w:lang w:eastAsia="zh-CN" w:bidi="ar"/>
        </w:rPr>
        <w:t>，</w:t>
      </w:r>
      <w:r>
        <w:rPr>
          <w:rFonts w:hint="default" w:ascii="Times New Roman" w:hAnsi="Times New Roman" w:eastAsia="宋体" w:cs="Times New Roman"/>
          <w:kern w:val="0"/>
          <w:sz w:val="24"/>
          <w:szCs w:val="24"/>
          <w:lang w:val="en-US" w:eastAsia="zh-CN" w:bidi="ar"/>
        </w:rPr>
        <w:t>能够</w:t>
      </w:r>
      <w:r>
        <w:rPr>
          <w:rFonts w:hint="default" w:ascii="Times New Roman" w:hAnsi="Times New Roman" w:eastAsia="宋体" w:cs="Times New Roman"/>
          <w:kern w:val="0"/>
          <w:sz w:val="24"/>
          <w:szCs w:val="24"/>
          <w:lang w:bidi="ar"/>
        </w:rPr>
        <w:t>计算</w:t>
      </w:r>
      <w:r>
        <w:rPr>
          <w:rFonts w:hint="default" w:ascii="Times New Roman" w:hAnsi="Times New Roman" w:eastAsia="宋体" w:cs="Times New Roman"/>
          <w:kern w:val="0"/>
          <w:sz w:val="24"/>
          <w:szCs w:val="24"/>
          <w:lang w:val="en-US" w:eastAsia="zh-CN" w:bidi="ar"/>
        </w:rPr>
        <w:t>给出</w:t>
      </w:r>
      <w:r>
        <w:rPr>
          <w:rFonts w:hint="default" w:ascii="Times New Roman" w:hAnsi="Times New Roman" w:eastAsia="宋体" w:cs="Times New Roman"/>
          <w:kern w:val="0"/>
          <w:sz w:val="24"/>
          <w:szCs w:val="24"/>
          <w:lang w:bidi="ar"/>
        </w:rPr>
        <w:t>放射性</w:t>
      </w:r>
      <w:r>
        <w:rPr>
          <w:rFonts w:hint="default" w:ascii="Times New Roman" w:hAnsi="Times New Roman" w:eastAsia="宋体" w:cs="Times New Roman"/>
          <w:kern w:val="0"/>
          <w:sz w:val="24"/>
          <w:szCs w:val="24"/>
          <w:lang w:val="en-US" w:eastAsia="zh-CN" w:bidi="ar"/>
        </w:rPr>
        <w:t>特征因子目标值。</w:t>
      </w:r>
      <w:r>
        <w:rPr>
          <w:rFonts w:hint="default" w:ascii="Times New Roman" w:hAnsi="Times New Roman" w:eastAsia="宋体" w:cs="Times New Roman"/>
          <w:kern w:val="0"/>
          <w:sz w:val="24"/>
          <w:szCs w:val="24"/>
          <w:lang w:bidi="ar"/>
        </w:rPr>
        <w:t>放射性</w:t>
      </w:r>
      <w:r>
        <w:rPr>
          <w:rFonts w:hint="default" w:ascii="Times New Roman" w:hAnsi="Times New Roman" w:eastAsia="宋体" w:cs="Times New Roman"/>
          <w:kern w:val="0"/>
          <w:sz w:val="24"/>
          <w:szCs w:val="24"/>
          <w:lang w:val="en-US" w:eastAsia="zh-CN" w:bidi="ar"/>
        </w:rPr>
        <w:t>特征因子</w:t>
      </w:r>
      <w:r>
        <w:rPr>
          <w:rFonts w:hint="default" w:ascii="Times New Roman" w:hAnsi="Times New Roman" w:eastAsia="宋体" w:cs="Times New Roman"/>
          <w:kern w:val="0"/>
          <w:sz w:val="24"/>
          <w:szCs w:val="24"/>
          <w:lang w:bidi="ar"/>
        </w:rPr>
        <w:t>产生致</w:t>
      </w:r>
      <w:r>
        <w:rPr>
          <w:rFonts w:hint="default" w:ascii="Times New Roman" w:hAnsi="Times New Roman" w:eastAsia="宋体" w:cs="Times New Roman"/>
          <w:kern w:val="0"/>
          <w:sz w:val="24"/>
          <w:szCs w:val="24"/>
          <w:lang w:val="en-US" w:eastAsia="zh-CN" w:bidi="ar"/>
        </w:rPr>
        <w:t>病</w:t>
      </w:r>
      <w:r>
        <w:rPr>
          <w:rFonts w:hint="default" w:ascii="Times New Roman" w:hAnsi="Times New Roman" w:eastAsia="宋体" w:cs="Times New Roman"/>
          <w:kern w:val="0"/>
          <w:sz w:val="24"/>
          <w:szCs w:val="24"/>
          <w:lang w:bidi="ar"/>
        </w:rPr>
        <w:t>风险的途径</w:t>
      </w:r>
      <w:r>
        <w:rPr>
          <w:rFonts w:hint="default" w:ascii="Times New Roman" w:hAnsi="Times New Roman" w:eastAsia="宋体" w:cs="Times New Roman"/>
          <w:kern w:val="0"/>
          <w:sz w:val="24"/>
          <w:szCs w:val="24"/>
          <w:lang w:val="en-US" w:eastAsia="zh-CN" w:bidi="ar"/>
        </w:rPr>
        <w:t>主要</w:t>
      </w:r>
      <w:r>
        <w:rPr>
          <w:rFonts w:hint="default" w:ascii="Times New Roman" w:hAnsi="Times New Roman" w:eastAsia="宋体" w:cs="Times New Roman"/>
          <w:kern w:val="0"/>
          <w:sz w:val="24"/>
          <w:szCs w:val="24"/>
          <w:lang w:bidi="ar"/>
        </w:rPr>
        <w:t>包括：饮水途径</w:t>
      </w:r>
      <w:r>
        <w:rPr>
          <w:rFonts w:hint="default" w:ascii="Times New Roman" w:hAnsi="Times New Roman" w:eastAsia="宋体" w:cs="Times New Roman"/>
          <w:kern w:val="0"/>
          <w:sz w:val="24"/>
          <w:szCs w:val="24"/>
          <w:lang w:eastAsia="zh-CN" w:bidi="ar"/>
        </w:rPr>
        <w:t>（</w:t>
      </w:r>
      <w:r>
        <w:rPr>
          <w:rFonts w:hint="default" w:ascii="Times New Roman" w:hAnsi="Times New Roman" w:eastAsia="宋体" w:cs="Times New Roman"/>
          <w:kern w:val="0"/>
          <w:sz w:val="24"/>
          <w:szCs w:val="24"/>
          <w:lang w:val="en-US" w:eastAsia="zh-CN" w:bidi="ar"/>
        </w:rPr>
        <w:t>已给出目标值，这里不再考虑</w:t>
      </w:r>
      <w:r>
        <w:rPr>
          <w:rFonts w:hint="default" w:ascii="Times New Roman" w:hAnsi="Times New Roman" w:eastAsia="宋体" w:cs="Times New Roman"/>
          <w:kern w:val="0"/>
          <w:sz w:val="24"/>
          <w:szCs w:val="24"/>
          <w:lang w:eastAsia="zh-CN" w:bidi="ar"/>
        </w:rPr>
        <w:t>）</w:t>
      </w:r>
      <w:r>
        <w:rPr>
          <w:rFonts w:hint="default" w:ascii="Times New Roman" w:hAnsi="Times New Roman" w:eastAsia="宋体" w:cs="Times New Roman"/>
          <w:kern w:val="0"/>
          <w:sz w:val="24"/>
          <w:szCs w:val="24"/>
          <w:lang w:bidi="ar"/>
        </w:rPr>
        <w:t>、食</w:t>
      </w:r>
      <w:r>
        <w:rPr>
          <w:rFonts w:hint="eastAsia" w:ascii="Times New Roman" w:hAnsi="Times New Roman" w:eastAsia="宋体" w:cs="Times New Roman"/>
          <w:kern w:val="0"/>
          <w:sz w:val="24"/>
          <w:szCs w:val="24"/>
          <w:lang w:val="en-US" w:eastAsia="zh-CN" w:bidi="ar"/>
        </w:rPr>
        <w:t>入</w:t>
      </w:r>
      <w:r>
        <w:rPr>
          <w:rFonts w:hint="default" w:ascii="Times New Roman" w:hAnsi="Times New Roman" w:eastAsia="宋体" w:cs="Times New Roman"/>
          <w:kern w:val="0"/>
          <w:sz w:val="24"/>
          <w:szCs w:val="24"/>
          <w:lang w:val="en-US" w:eastAsia="zh-CN" w:bidi="ar"/>
        </w:rPr>
        <w:t>农</w:t>
      </w:r>
      <w:r>
        <w:rPr>
          <w:rFonts w:hint="eastAsia" w:ascii="Times New Roman" w:hAnsi="Times New Roman" w:eastAsia="宋体" w:cs="Times New Roman"/>
          <w:kern w:val="0"/>
          <w:sz w:val="24"/>
          <w:szCs w:val="24"/>
          <w:lang w:val="en-US" w:eastAsia="zh-CN" w:bidi="ar"/>
        </w:rPr>
        <w:t>作物</w:t>
      </w:r>
      <w:r>
        <w:rPr>
          <w:rFonts w:hint="default" w:ascii="Times New Roman" w:hAnsi="Times New Roman" w:eastAsia="宋体" w:cs="Times New Roman"/>
          <w:kern w:val="0"/>
          <w:sz w:val="24"/>
          <w:szCs w:val="24"/>
          <w:lang w:val="en-US" w:eastAsia="zh-CN" w:bidi="ar"/>
        </w:rPr>
        <w:t>产品（如</w:t>
      </w:r>
      <w:r>
        <w:rPr>
          <w:rFonts w:hint="default" w:ascii="Times New Roman" w:hAnsi="Times New Roman" w:eastAsia="宋体" w:cs="Times New Roman"/>
          <w:kern w:val="0"/>
          <w:sz w:val="24"/>
          <w:szCs w:val="24"/>
          <w:lang w:bidi="ar"/>
        </w:rPr>
        <w:t>灌溉蔬菜</w:t>
      </w:r>
      <w:r>
        <w:rPr>
          <w:rFonts w:hint="default" w:ascii="Times New Roman" w:hAnsi="Times New Roman" w:eastAsia="宋体" w:cs="Times New Roman"/>
          <w:kern w:val="0"/>
          <w:sz w:val="24"/>
          <w:szCs w:val="24"/>
          <w:lang w:val="en-US" w:eastAsia="zh-CN" w:bidi="ar"/>
        </w:rPr>
        <w:t>）途径</w:t>
      </w:r>
      <w:r>
        <w:rPr>
          <w:rFonts w:hint="default" w:ascii="Times New Roman" w:hAnsi="Times New Roman" w:eastAsia="宋体" w:cs="Times New Roman"/>
          <w:kern w:val="0"/>
          <w:sz w:val="24"/>
          <w:szCs w:val="24"/>
          <w:lang w:bidi="ar"/>
        </w:rPr>
        <w:t>、食</w:t>
      </w:r>
      <w:r>
        <w:rPr>
          <w:rFonts w:hint="eastAsia" w:ascii="Times New Roman" w:hAnsi="Times New Roman" w:eastAsia="宋体" w:cs="Times New Roman"/>
          <w:kern w:val="0"/>
          <w:sz w:val="24"/>
          <w:szCs w:val="24"/>
          <w:lang w:val="en-US" w:eastAsia="zh-CN" w:bidi="ar"/>
        </w:rPr>
        <w:t>入</w:t>
      </w:r>
      <w:r>
        <w:rPr>
          <w:rFonts w:hint="default" w:ascii="Times New Roman" w:hAnsi="Times New Roman" w:eastAsia="宋体" w:cs="Times New Roman"/>
          <w:kern w:val="0"/>
          <w:sz w:val="24"/>
          <w:szCs w:val="24"/>
          <w:lang w:val="en-US" w:eastAsia="zh-CN" w:bidi="ar"/>
        </w:rPr>
        <w:t>动物产品（如</w:t>
      </w:r>
      <w:r>
        <w:rPr>
          <w:rFonts w:hint="default" w:ascii="Times New Roman" w:hAnsi="Times New Roman" w:eastAsia="宋体" w:cs="Times New Roman"/>
          <w:kern w:val="0"/>
          <w:sz w:val="24"/>
          <w:szCs w:val="24"/>
          <w:lang w:bidi="ar"/>
        </w:rPr>
        <w:t>牛肉</w:t>
      </w:r>
      <w:r>
        <w:rPr>
          <w:rFonts w:hint="default" w:ascii="Times New Roman" w:hAnsi="Times New Roman" w:eastAsia="宋体" w:cs="Times New Roman"/>
          <w:kern w:val="0"/>
          <w:sz w:val="24"/>
          <w:szCs w:val="24"/>
          <w:lang w:val="en-US" w:eastAsia="zh-CN" w:bidi="ar"/>
        </w:rPr>
        <w:t>）途径</w:t>
      </w:r>
      <w:r>
        <w:rPr>
          <w:rFonts w:hint="default" w:ascii="Times New Roman" w:hAnsi="Times New Roman" w:eastAsia="宋体" w:cs="Times New Roman"/>
          <w:kern w:val="0"/>
          <w:sz w:val="24"/>
          <w:szCs w:val="24"/>
          <w:lang w:bidi="ar"/>
        </w:rPr>
        <w:t>。</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模型计算需要调查放射性特征因子暴露途径基本信息，包括</w:t>
      </w:r>
      <w:r>
        <w:rPr>
          <w:rFonts w:hint="eastAsia" w:ascii="Times New Roman" w:hAnsi="Times New Roman" w:eastAsia="宋体" w:cs="Times New Roman"/>
          <w:kern w:val="0"/>
          <w:sz w:val="24"/>
          <w:szCs w:val="24"/>
          <w:lang w:val="en-US" w:eastAsia="zh-CN" w:bidi="ar"/>
        </w:rPr>
        <w:t>射性特征因子迁移富集规律、地浸铀矿</w:t>
      </w:r>
      <w:r>
        <w:rPr>
          <w:rFonts w:hint="default" w:ascii="Times New Roman" w:hAnsi="Times New Roman" w:eastAsia="宋体" w:cs="Times New Roman"/>
          <w:kern w:val="0"/>
          <w:sz w:val="24"/>
          <w:szCs w:val="24"/>
          <w:lang w:val="en-US" w:eastAsia="zh-CN" w:bidi="ar"/>
        </w:rPr>
        <w:t>周围人口情况、食谱构成、食入受影响区食物比例、灌溉率及灌溉周期、可食动植物类型等。调查确定好计算参数取值后，根据人体健康风险阈值10</w:t>
      </w:r>
      <w:r>
        <w:rPr>
          <w:rFonts w:hint="default" w:ascii="Times New Roman" w:hAnsi="Times New Roman" w:eastAsia="宋体" w:cs="Times New Roman"/>
          <w:kern w:val="0"/>
          <w:sz w:val="24"/>
          <w:szCs w:val="24"/>
          <w:vertAlign w:val="superscript"/>
          <w:lang w:val="en-US" w:eastAsia="zh-CN" w:bidi="ar"/>
        </w:rPr>
        <w:t>-4</w:t>
      </w:r>
      <w:r>
        <w:rPr>
          <w:rFonts w:hint="default" w:ascii="Times New Roman" w:hAnsi="Times New Roman" w:eastAsia="宋体" w:cs="Times New Roman"/>
          <w:kern w:val="0"/>
          <w:sz w:val="24"/>
          <w:szCs w:val="24"/>
          <w:lang w:val="en-US" w:eastAsia="zh-CN" w:bidi="ar"/>
        </w:rPr>
        <w:t>（</w:t>
      </w:r>
      <w:r>
        <w:rPr>
          <w:rFonts w:hint="eastAsia" w:ascii="Times New Roman" w:hAnsi="Times New Roman" w:eastAsia="宋体" w:cs="Times New Roman"/>
          <w:kern w:val="0"/>
          <w:sz w:val="24"/>
          <w:szCs w:val="24"/>
          <w:lang w:val="en-US" w:eastAsia="zh-CN" w:bidi="ar"/>
        </w:rPr>
        <w:t>参照</w:t>
      </w:r>
      <w:r>
        <w:rPr>
          <w:rFonts w:hint="default" w:ascii="Times New Roman" w:hAnsi="Times New Roman" w:eastAsia="宋体" w:cs="Times New Roman"/>
          <w:kern w:val="0"/>
          <w:sz w:val="24"/>
          <w:szCs w:val="24"/>
          <w:lang w:val="en-US" w:eastAsia="zh-CN" w:bidi="ar"/>
        </w:rPr>
        <w:t>GB/T14848</w:t>
      </w:r>
      <w:r>
        <w:rPr>
          <w:rFonts w:hint="eastAsia" w:ascii="Times New Roman" w:hAnsi="Times New Roman" w:eastAsia="宋体" w:cs="Times New Roman"/>
          <w:kern w:val="0"/>
          <w:sz w:val="24"/>
          <w:szCs w:val="24"/>
          <w:lang w:val="en-US" w:eastAsia="zh-CN" w:bidi="ar"/>
        </w:rPr>
        <w:t>中</w:t>
      </w:r>
      <w:r>
        <w:rPr>
          <w:rFonts w:hint="default" w:ascii="Times New Roman" w:hAnsi="Times New Roman" w:eastAsia="宋体" w:cs="Times New Roman"/>
          <w:kern w:val="0"/>
          <w:sz w:val="24"/>
          <w:szCs w:val="24"/>
          <w:lang w:val="en-US" w:eastAsia="zh-CN" w:bidi="ar"/>
        </w:rPr>
        <w:t>Ⅳ类水限值</w:t>
      </w:r>
      <w:r>
        <w:rPr>
          <w:rFonts w:hint="eastAsia" w:ascii="Times New Roman" w:hAnsi="Times New Roman" w:eastAsia="宋体" w:cs="Times New Roman"/>
          <w:kern w:val="0"/>
          <w:sz w:val="24"/>
          <w:szCs w:val="24"/>
          <w:lang w:val="en-US" w:eastAsia="zh-CN" w:bidi="ar"/>
        </w:rPr>
        <w:t>的计算依据，计算依据源自美国</w:t>
      </w:r>
      <w:r>
        <w:rPr>
          <w:rFonts w:hint="default" w:ascii="Times New Roman" w:hAnsi="Times New Roman" w:eastAsia="宋体" w:cs="Times New Roman"/>
          <w:kern w:val="0"/>
          <w:sz w:val="24"/>
          <w:szCs w:val="24"/>
          <w:lang w:val="en-US" w:eastAsia="zh-CN" w:bidi="ar"/>
        </w:rPr>
        <w:t>EPA</w:t>
      </w:r>
      <w:r>
        <w:rPr>
          <w:rFonts w:hint="eastAsia" w:ascii="Times New Roman" w:hAnsi="Times New Roman" w:eastAsia="宋体" w:cs="Times New Roman"/>
          <w:kern w:val="0"/>
          <w:sz w:val="24"/>
          <w:szCs w:val="24"/>
          <w:lang w:val="en-US" w:eastAsia="zh-CN" w:bidi="ar"/>
        </w:rPr>
        <w:t>的致癌风险值</w:t>
      </w:r>
      <w:r>
        <w:rPr>
          <w:rFonts w:hint="default" w:ascii="Times New Roman" w:hAnsi="Times New Roman" w:eastAsia="宋体" w:cs="Times New Roman"/>
          <w:kern w:val="0"/>
          <w:sz w:val="24"/>
          <w:szCs w:val="24"/>
          <w:lang w:val="en-US" w:eastAsia="zh-CN" w:bidi="ar"/>
        </w:rPr>
        <w:t>CR），基于放射性核素可接受浓度计算推荐模型，</w:t>
      </w:r>
      <w:r>
        <w:rPr>
          <w:rFonts w:hint="eastAsia" w:ascii="Times New Roman" w:hAnsi="Times New Roman" w:eastAsia="宋体" w:cs="Times New Roman"/>
          <w:kern w:val="0"/>
          <w:sz w:val="24"/>
          <w:szCs w:val="24"/>
          <w:lang w:val="en-US" w:eastAsia="zh-CN" w:bidi="ar"/>
        </w:rPr>
        <w:t>计算</w:t>
      </w:r>
      <w:r>
        <w:rPr>
          <w:rFonts w:hint="default" w:ascii="Times New Roman" w:hAnsi="Times New Roman" w:eastAsia="宋体" w:cs="Times New Roman"/>
          <w:kern w:val="0"/>
          <w:sz w:val="24"/>
          <w:szCs w:val="24"/>
          <w:lang w:val="en-US" w:eastAsia="zh-CN" w:bidi="ar"/>
        </w:rPr>
        <w:t>得到</w:t>
      </w:r>
      <w:r>
        <w:rPr>
          <w:rFonts w:hint="eastAsia" w:ascii="Times New Roman" w:hAnsi="Times New Roman" w:eastAsia="宋体" w:cs="Times New Roman"/>
          <w:kern w:val="0"/>
          <w:sz w:val="24"/>
          <w:szCs w:val="24"/>
          <w:lang w:val="en-US" w:eastAsia="zh-CN" w:bidi="ar"/>
        </w:rPr>
        <w:t>农业用水使用功能</w:t>
      </w:r>
      <w:r>
        <w:rPr>
          <w:rFonts w:hint="default" w:ascii="Times New Roman" w:hAnsi="Times New Roman" w:eastAsia="宋体" w:cs="Times New Roman"/>
          <w:kern w:val="0"/>
          <w:sz w:val="24"/>
          <w:szCs w:val="24"/>
          <w:lang w:val="en-US" w:eastAsia="zh-CN" w:bidi="ar"/>
        </w:rPr>
        <w:t>下放射性特征因子可接受浓度。</w:t>
      </w:r>
    </w:p>
    <w:p>
      <w:pPr>
        <w:pStyle w:val="2"/>
        <w:keepNext w:val="0"/>
        <w:keepLines w:val="0"/>
        <w:pageBreakBefore w:val="0"/>
        <w:kinsoku/>
        <w:wordWrap/>
        <w:overflowPunct/>
        <w:topLinePunct w:val="0"/>
        <w:bidi w:val="0"/>
        <w:adjustRightInd/>
        <w:snapToGrid/>
        <w:spacing w:line="360" w:lineRule="auto"/>
        <w:ind w:firstLine="42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模型计算时，不同地区、不同铀矿使用的相关参数取值各不相同</w:t>
      </w:r>
      <w:r>
        <w:rPr>
          <w:rFonts w:hint="eastAsia" w:ascii="Times New Roman" w:cs="Times New Roman"/>
          <w:sz w:val="24"/>
          <w:szCs w:val="24"/>
          <w:lang w:val="en-US" w:eastAsia="zh-CN"/>
        </w:rPr>
        <w:t>。在通辽铀业和天山铀业的协助下，</w:t>
      </w:r>
      <w:r>
        <w:rPr>
          <w:rFonts w:hint="default" w:ascii="Times New Roman" w:hAnsi="Times New Roman" w:eastAsia="宋体" w:cs="Times New Roman"/>
          <w:sz w:val="24"/>
          <w:szCs w:val="24"/>
          <w:lang w:val="en-US" w:eastAsia="zh-CN"/>
        </w:rPr>
        <w:t>编制组目前</w:t>
      </w:r>
      <w:r>
        <w:rPr>
          <w:rFonts w:hint="eastAsia" w:ascii="Times New Roman" w:cs="Times New Roman"/>
          <w:sz w:val="24"/>
          <w:szCs w:val="24"/>
          <w:lang w:val="en-US" w:eastAsia="zh-CN"/>
        </w:rPr>
        <w:t>获取到了部分计算参数调查样本。初步计算得出</w:t>
      </w:r>
      <w:r>
        <w:rPr>
          <w:rFonts w:hint="eastAsia" w:ascii="Times New Roman" w:hAnsi="Times New Roman" w:eastAsia="宋体" w:cs="Times New Roman"/>
          <w:sz w:val="24"/>
          <w:szCs w:val="24"/>
          <w:lang w:val="en-US" w:eastAsia="zh-CN"/>
        </w:rPr>
        <w:t>通辽铀业钱Ⅱ块C3采区</w:t>
      </w:r>
      <w:r>
        <w:rPr>
          <w:rFonts w:hint="eastAsia"/>
          <w:color w:val="000000"/>
          <w:sz w:val="24"/>
          <w:szCs w:val="24"/>
          <w:lang w:val="en-US" w:eastAsia="zh-CN"/>
        </w:rPr>
        <w:t>地下水修复目标值（取整）：</w:t>
      </w:r>
      <w:r>
        <w:rPr>
          <w:rFonts w:hint="default" w:ascii="Times New Roman" w:hAnsi="Times New Roman" w:eastAsia="宋体" w:cs="Times New Roman"/>
          <w:sz w:val="24"/>
          <w:szCs w:val="24"/>
        </w:rPr>
        <w:t>U</w:t>
      </w:r>
      <w:r>
        <w:rPr>
          <w:rFonts w:hint="default" w:ascii="Times New Roman" w:hAnsi="Times New Roman" w:eastAsia="宋体" w:cs="Times New Roman"/>
          <w:sz w:val="24"/>
          <w:szCs w:val="24"/>
          <w:vertAlign w:val="subscript"/>
        </w:rPr>
        <w:t>天然</w:t>
      </w:r>
      <w:r>
        <w:rPr>
          <w:rFonts w:hint="default" w:ascii="Times New Roman" w:hAnsi="Times New Roman" w:eastAsia="宋体" w:cs="Times New Roman"/>
          <w:sz w:val="24"/>
          <w:szCs w:val="24"/>
          <w:lang w:val="en-US" w:eastAsia="zh-CN"/>
        </w:rPr>
        <w:t>为</w:t>
      </w:r>
      <w:r>
        <w:rPr>
          <w:rFonts w:hint="eastAsia" w:ascii="Times New Roman" w:cs="Times New Roman"/>
          <w:sz w:val="24"/>
          <w:szCs w:val="24"/>
          <w:lang w:val="en-US" w:eastAsia="zh-CN"/>
        </w:rPr>
        <w:t>3</w:t>
      </w:r>
      <w:r>
        <w:rPr>
          <w:rFonts w:hint="default" w:ascii="Times New Roman" w:hAnsi="Times New Roman" w:eastAsia="宋体" w:cs="Times New Roman"/>
          <w:sz w:val="24"/>
          <w:szCs w:val="24"/>
          <w:lang w:val="en-US" w:eastAsia="zh-CN"/>
        </w:rPr>
        <w:t>mg/L</w:t>
      </w:r>
      <w:r>
        <w:rPr>
          <w:rFonts w:hint="eastAsia" w:ascii="Times New Roman" w:cs="Times New Roman"/>
          <w:sz w:val="24"/>
          <w:szCs w:val="24"/>
          <w:lang w:val="en-US" w:eastAsia="zh-CN"/>
        </w:rPr>
        <w:t>、</w:t>
      </w:r>
      <w:r>
        <w:rPr>
          <w:rFonts w:hint="default" w:ascii="Times New Roman" w:hAnsi="Times New Roman" w:eastAsia="宋体" w:cs="Times New Roman"/>
          <w:sz w:val="24"/>
          <w:szCs w:val="24"/>
          <w:vertAlign w:val="superscript"/>
        </w:rPr>
        <w:t>226</w:t>
      </w:r>
      <w:r>
        <w:rPr>
          <w:rFonts w:hint="default" w:ascii="Times New Roman" w:hAnsi="Times New Roman" w:eastAsia="宋体" w:cs="Times New Roman"/>
          <w:sz w:val="24"/>
          <w:szCs w:val="24"/>
        </w:rPr>
        <w:t>Ra</w:t>
      </w:r>
      <w:r>
        <w:rPr>
          <w:rFonts w:hint="default" w:ascii="Times New Roman" w:hAnsi="Times New Roman" w:eastAsia="宋体" w:cs="Times New Roman"/>
          <w:sz w:val="24"/>
          <w:szCs w:val="24"/>
          <w:lang w:val="en-US" w:eastAsia="zh-CN"/>
        </w:rPr>
        <w:t>为</w:t>
      </w:r>
      <w:r>
        <w:rPr>
          <w:rFonts w:hint="eastAsia" w:ascii="Times New Roman" w:cs="Times New Roman"/>
          <w:sz w:val="24"/>
          <w:szCs w:val="24"/>
          <w:lang w:val="en-US" w:eastAsia="zh-CN"/>
        </w:rPr>
        <w:t>1.3</w:t>
      </w:r>
      <w:r>
        <w:rPr>
          <w:rFonts w:hint="default" w:ascii="Times New Roman" w:hAnsi="Times New Roman" w:eastAsia="宋体" w:cs="Times New Roman"/>
          <w:sz w:val="24"/>
          <w:szCs w:val="24"/>
          <w:lang w:val="en-US" w:eastAsia="zh-CN"/>
        </w:rPr>
        <w:t>Bq/L</w:t>
      </w:r>
      <w:r>
        <w:rPr>
          <w:rFonts w:hint="eastAsia" w:ascii="Times New Roman" w:cs="Times New Roman"/>
          <w:sz w:val="24"/>
          <w:szCs w:val="24"/>
          <w:lang w:val="en-US" w:eastAsia="zh-CN"/>
        </w:rPr>
        <w:t>；</w:t>
      </w:r>
      <w:r>
        <w:rPr>
          <w:rFonts w:hint="eastAsia" w:ascii="Times New Roman" w:hAnsi="Times New Roman" w:eastAsia="宋体" w:cs="Times New Roman"/>
          <w:sz w:val="24"/>
          <w:szCs w:val="24"/>
          <w:lang w:val="en-US" w:eastAsia="zh-CN"/>
        </w:rPr>
        <w:t>天山铀业737厂15#采区</w:t>
      </w:r>
      <w:r>
        <w:rPr>
          <w:rFonts w:hint="eastAsia"/>
          <w:color w:val="000000"/>
          <w:sz w:val="24"/>
          <w:szCs w:val="24"/>
          <w:lang w:val="en-US" w:eastAsia="zh-CN"/>
        </w:rPr>
        <w:t>地下水修复目标值（取整）：</w:t>
      </w:r>
      <w:r>
        <w:rPr>
          <w:rFonts w:hint="default" w:ascii="Times New Roman" w:hAnsi="Times New Roman" w:eastAsia="宋体" w:cs="Times New Roman"/>
          <w:sz w:val="24"/>
          <w:szCs w:val="24"/>
          <w:highlight w:val="none"/>
        </w:rPr>
        <w:t>U</w:t>
      </w:r>
      <w:r>
        <w:rPr>
          <w:rFonts w:hint="default" w:ascii="Times New Roman" w:hAnsi="Times New Roman" w:eastAsia="宋体" w:cs="Times New Roman"/>
          <w:sz w:val="24"/>
          <w:szCs w:val="24"/>
          <w:highlight w:val="none"/>
          <w:vertAlign w:val="subscript"/>
        </w:rPr>
        <w:t>天然</w:t>
      </w:r>
      <w:r>
        <w:rPr>
          <w:rFonts w:hint="default" w:ascii="Times New Roman" w:hAnsi="Times New Roman" w:eastAsia="宋体" w:cs="Times New Roman"/>
          <w:sz w:val="24"/>
          <w:szCs w:val="24"/>
          <w:highlight w:val="none"/>
          <w:lang w:val="en-US" w:eastAsia="zh-CN"/>
        </w:rPr>
        <w:t>为</w:t>
      </w:r>
      <w:r>
        <w:rPr>
          <w:rFonts w:hint="eastAsia" w:ascii="Times New Roman"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mg/L</w:t>
      </w:r>
      <w:r>
        <w:rPr>
          <w:rFonts w:hint="eastAsia" w:ascii="Times New Roman" w:cs="Times New Roman"/>
          <w:sz w:val="24"/>
          <w:szCs w:val="24"/>
          <w:highlight w:val="none"/>
          <w:lang w:val="en-US" w:eastAsia="zh-CN"/>
        </w:rPr>
        <w:t>、</w:t>
      </w:r>
      <w:r>
        <w:rPr>
          <w:rFonts w:hint="default" w:ascii="Times New Roman" w:hAnsi="Times New Roman" w:eastAsia="宋体" w:cs="Times New Roman"/>
          <w:sz w:val="24"/>
          <w:szCs w:val="24"/>
          <w:highlight w:val="none"/>
          <w:vertAlign w:val="superscript"/>
        </w:rPr>
        <w:t>226</w:t>
      </w:r>
      <w:r>
        <w:rPr>
          <w:rFonts w:hint="default" w:ascii="Times New Roman" w:hAnsi="Times New Roman" w:eastAsia="宋体" w:cs="Times New Roman"/>
          <w:sz w:val="24"/>
          <w:szCs w:val="24"/>
          <w:highlight w:val="none"/>
        </w:rPr>
        <w:t>Ra</w:t>
      </w:r>
      <w:r>
        <w:rPr>
          <w:rFonts w:hint="default" w:ascii="Times New Roman" w:hAnsi="Times New Roman" w:eastAsia="宋体" w:cs="Times New Roman"/>
          <w:sz w:val="24"/>
          <w:szCs w:val="24"/>
          <w:highlight w:val="none"/>
          <w:lang w:val="en-US" w:eastAsia="zh-CN"/>
        </w:rPr>
        <w:t>为</w:t>
      </w:r>
      <w:r>
        <w:rPr>
          <w:rFonts w:hint="eastAsia" w:ascii="Times New Roman" w:cs="Times New Roman"/>
          <w:sz w:val="24"/>
          <w:szCs w:val="24"/>
          <w:highlight w:val="none"/>
          <w:lang w:val="en-US" w:eastAsia="zh-CN"/>
        </w:rPr>
        <w:t>4.5</w:t>
      </w:r>
      <w:r>
        <w:rPr>
          <w:rFonts w:hint="default" w:ascii="Times New Roman" w:hAnsi="Times New Roman" w:eastAsia="宋体" w:cs="Times New Roman"/>
          <w:sz w:val="24"/>
          <w:szCs w:val="24"/>
          <w:highlight w:val="none"/>
          <w:lang w:val="en-US" w:eastAsia="zh-CN"/>
        </w:rPr>
        <w:t>Bq/L</w:t>
      </w:r>
      <w:r>
        <w:rPr>
          <w:rFonts w:hint="eastAsia" w:ascii="Times New Roman" w:cs="Times New Roman"/>
          <w:sz w:val="24"/>
          <w:szCs w:val="24"/>
          <w:lang w:val="en-US" w:eastAsia="zh-CN"/>
        </w:rPr>
        <w:t>。相关参数的代表性、科学性有待进一步评估，模型计算存在优化空间。</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3"/>
        <w:rPr>
          <w:rFonts w:hint="default" w:ascii="Times New Roman" w:hAnsi="Times New Roman" w:eastAsia="宋体" w:cs="Times New Roman"/>
          <w:b/>
          <w:bCs/>
          <w:sz w:val="28"/>
          <w:szCs w:val="28"/>
          <w:lang w:val="en-US" w:eastAsia="zh-CN"/>
        </w:rPr>
      </w:pPr>
      <w:r>
        <w:rPr>
          <w:rFonts w:hint="eastAsia" w:ascii="黑体" w:hAnsi="黑体" w:eastAsia="黑体"/>
          <w:kern w:val="0"/>
          <w:sz w:val="24"/>
          <w:lang w:val="en-US" w:eastAsia="zh-CN"/>
        </w:rPr>
        <w:t>2.5.3 非</w:t>
      </w:r>
      <w:r>
        <w:rPr>
          <w:rFonts w:hint="default" w:ascii="黑体" w:hAnsi="黑体" w:eastAsia="黑体"/>
          <w:kern w:val="0"/>
          <w:sz w:val="24"/>
          <w:lang w:val="en-US" w:eastAsia="zh-CN"/>
        </w:rPr>
        <w:t>放射性特征因子目标值</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《地下水质量标准》（GB/T14848-2017）规定了</w:t>
      </w:r>
      <w:r>
        <w:rPr>
          <w:rFonts w:hint="default" w:ascii="Times New Roman" w:hAnsi="Times New Roman" w:eastAsia="宋体" w:cs="Times New Roman"/>
          <w:sz w:val="24"/>
          <w:szCs w:val="24"/>
        </w:rPr>
        <w:t>地下水质量分类、指标及限值，地下水质量调查与监测，地下水质量评价等内容</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适用于地下水质量调查、监测、评价与管理。</w:t>
      </w:r>
      <w:r>
        <w:rPr>
          <w:rFonts w:hint="default" w:ascii="Times New Roman" w:hAnsi="Times New Roman" w:eastAsia="宋体" w:cs="Times New Roman"/>
          <w:sz w:val="24"/>
          <w:szCs w:val="24"/>
          <w:lang w:val="en-US" w:eastAsia="zh-CN"/>
        </w:rPr>
        <w:t>2024年，修订后的《地下水质量标准》（GB/T14848-2024）征求意见稿公开征求意见</w:t>
      </w:r>
      <w:r>
        <w:rPr>
          <w:rFonts w:hint="eastAsia" w:ascii="Times New Roman" w:hAnsi="Times New Roman" w:eastAsia="宋体" w:cs="Times New Roman"/>
          <w:sz w:val="24"/>
          <w:szCs w:val="24"/>
          <w:lang w:val="en-US" w:eastAsia="zh-CN"/>
        </w:rPr>
        <w:t>；2025年11月，形成报批稿</w:t>
      </w:r>
      <w:r>
        <w:rPr>
          <w:rFonts w:hint="default" w:ascii="Times New Roman" w:hAnsi="Times New Roman" w:eastAsia="宋体" w:cs="Times New Roman"/>
          <w:sz w:val="24"/>
          <w:szCs w:val="24"/>
          <w:lang w:val="en-US" w:eastAsia="zh-CN"/>
        </w:rPr>
        <w:t>。</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本标准中的非放射性特征因子所包括的指标，在</w:t>
      </w:r>
      <w:r>
        <w:rPr>
          <w:rFonts w:hint="eastAsia" w:ascii="Times New Roman" w:hAnsi="Times New Roman" w:eastAsia="宋体" w:cs="Times New Roman"/>
          <w:sz w:val="24"/>
          <w:szCs w:val="24"/>
          <w:lang w:val="en-US" w:eastAsia="zh-CN"/>
        </w:rPr>
        <w:t>参照</w:t>
      </w:r>
      <w:r>
        <w:rPr>
          <w:rFonts w:hint="default" w:ascii="Times New Roman" w:hAnsi="Times New Roman" w:eastAsia="宋体" w:cs="Times New Roman"/>
          <w:sz w:val="24"/>
          <w:szCs w:val="24"/>
          <w:lang w:val="en-US" w:eastAsia="zh-CN"/>
        </w:rPr>
        <w:t>GB/T14848</w:t>
      </w:r>
      <w:r>
        <w:rPr>
          <w:rFonts w:hint="eastAsia" w:ascii="Times New Roman" w:hAnsi="Times New Roman" w:eastAsia="宋体" w:cs="Times New Roman"/>
          <w:sz w:val="24"/>
          <w:szCs w:val="24"/>
          <w:lang w:val="en-US" w:eastAsia="zh-CN"/>
        </w:rPr>
        <w:t>报批稿</w:t>
      </w:r>
      <w:r>
        <w:rPr>
          <w:rFonts w:hint="default" w:ascii="Times New Roman" w:hAnsi="Times New Roman" w:eastAsia="宋体" w:cs="Times New Roman"/>
          <w:sz w:val="24"/>
          <w:szCs w:val="24"/>
          <w:lang w:val="en-US" w:eastAsia="zh-CN"/>
        </w:rPr>
        <w:t>基础上，结合行业实际情况进行了优化</w:t>
      </w:r>
      <w:r>
        <w:rPr>
          <w:rFonts w:hint="eastAsia" w:ascii="Times New Roman" w:hAnsi="Times New Roman" w:eastAsia="宋体" w:cs="Times New Roman"/>
          <w:sz w:val="24"/>
          <w:szCs w:val="24"/>
          <w:lang w:val="en-US" w:eastAsia="zh-CN"/>
        </w:rPr>
        <w:t>，开展地下水</w:t>
      </w:r>
      <w:r>
        <w:rPr>
          <w:rFonts w:hint="default" w:ascii="Times New Roman" w:hAnsi="Times New Roman" w:eastAsia="宋体" w:cs="Times New Roman"/>
          <w:sz w:val="24"/>
          <w:szCs w:val="24"/>
          <w:lang w:val="en-US" w:eastAsia="zh-CN"/>
        </w:rPr>
        <w:t>修复工作时，应根据源项调查结果等在</w:t>
      </w:r>
      <w:r>
        <w:rPr>
          <w:rFonts w:hint="eastAsia" w:ascii="Times New Roman" w:hAnsi="Times New Roman" w:eastAsia="宋体" w:cs="Times New Roman"/>
          <w:sz w:val="24"/>
          <w:szCs w:val="24"/>
          <w:lang w:val="en-US" w:eastAsia="zh-CN"/>
        </w:rPr>
        <w:t>相关</w:t>
      </w:r>
      <w:r>
        <w:rPr>
          <w:rFonts w:hint="default" w:ascii="Times New Roman" w:hAnsi="Times New Roman" w:eastAsia="宋体" w:cs="Times New Roman"/>
          <w:sz w:val="24"/>
          <w:szCs w:val="24"/>
          <w:lang w:val="en-US" w:eastAsia="zh-CN"/>
        </w:rPr>
        <w:t>指标中进一步筛选</w:t>
      </w:r>
      <w:r>
        <w:rPr>
          <w:rFonts w:hint="eastAsia" w:ascii="Times New Roman" w:hAnsi="Times New Roman" w:eastAsia="宋体" w:cs="Times New Roman"/>
          <w:sz w:val="24"/>
          <w:szCs w:val="24"/>
          <w:lang w:val="en-US" w:eastAsia="zh-CN"/>
        </w:rPr>
        <w:t>。对于</w:t>
      </w:r>
      <w:r>
        <w:rPr>
          <w:rFonts w:hint="default" w:ascii="Times New Roman" w:hAnsi="Times New Roman" w:eastAsia="宋体" w:cs="Times New Roman"/>
          <w:sz w:val="24"/>
          <w:szCs w:val="24"/>
          <w:lang w:val="en-US" w:eastAsia="zh-CN"/>
        </w:rPr>
        <w:t>特征因子限值</w:t>
      </w:r>
      <w:r>
        <w:rPr>
          <w:rFonts w:hint="eastAsia" w:ascii="Times New Roman" w:hAnsi="Times New Roman" w:eastAsia="宋体" w:cs="Times New Roman"/>
          <w:sz w:val="24"/>
          <w:szCs w:val="24"/>
          <w:lang w:val="en-US" w:eastAsia="zh-CN"/>
        </w:rPr>
        <w:t>的确定，涉及生活饮用水的，引用</w:t>
      </w:r>
      <w:r>
        <w:rPr>
          <w:rFonts w:hint="default" w:ascii="Times New Roman" w:hAnsi="Times New Roman" w:eastAsia="宋体" w:cs="Times New Roman"/>
          <w:sz w:val="24"/>
          <w:szCs w:val="24"/>
        </w:rPr>
        <w:t>GB</w:t>
      </w:r>
      <w:r>
        <w:rPr>
          <w:rFonts w:hint="default" w:ascii="Times New Roman" w:hAnsi="Times New Roman" w:eastAsia="宋体" w:cs="Times New Roman"/>
          <w:sz w:val="24"/>
          <w:szCs w:val="24"/>
          <w:lang w:val="en-US" w:eastAsia="zh-CN"/>
        </w:rPr>
        <w:t>5749</w:t>
      </w:r>
      <w:r>
        <w:rPr>
          <w:rFonts w:hint="eastAsia" w:ascii="Times New Roman" w:hAnsi="Times New Roman" w:eastAsia="宋体" w:cs="Times New Roman"/>
          <w:sz w:val="24"/>
          <w:szCs w:val="24"/>
          <w:lang w:val="en-US" w:eastAsia="zh-CN"/>
        </w:rPr>
        <w:t>发布稿中限值要求；涉及工农业</w:t>
      </w:r>
      <w:r>
        <w:rPr>
          <w:rFonts w:hint="eastAsia" w:ascii="Times New Roman" w:hAnsi="Times New Roman" w:eastAsia="宋体" w:cs="Times New Roman"/>
          <w:sz w:val="24"/>
          <w:szCs w:val="24"/>
        </w:rPr>
        <w:t>用水</w:t>
      </w:r>
      <w:r>
        <w:rPr>
          <w:rFonts w:hint="eastAsia" w:ascii="Times New Roman" w:hAnsi="Times New Roman" w:eastAsia="宋体" w:cs="Times New Roman"/>
          <w:sz w:val="24"/>
          <w:szCs w:val="24"/>
          <w:lang w:val="en-US" w:eastAsia="zh-CN"/>
        </w:rPr>
        <w:t>的，引用</w:t>
      </w:r>
      <w:r>
        <w:rPr>
          <w:rFonts w:hint="default" w:ascii="Times New Roman" w:hAnsi="Times New Roman" w:eastAsia="宋体" w:cs="Times New Roman"/>
          <w:sz w:val="24"/>
          <w:szCs w:val="24"/>
          <w:lang w:val="en-US" w:eastAsia="zh-CN"/>
        </w:rPr>
        <w:t>GB/T14848</w:t>
      </w:r>
      <w:r>
        <w:rPr>
          <w:rFonts w:hint="eastAsia" w:ascii="Times New Roman" w:hAnsi="Times New Roman" w:eastAsia="宋体" w:cs="Times New Roman"/>
          <w:sz w:val="24"/>
          <w:szCs w:val="24"/>
          <w:lang w:val="en-US" w:eastAsia="zh-CN"/>
        </w:rPr>
        <w:t>报批稿中Ⅳ类限值要求。</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hint="default" w:ascii="黑体" w:hAnsi="黑体" w:eastAsia="黑体"/>
          <w:kern w:val="0"/>
          <w:sz w:val="24"/>
          <w:lang w:val="en-US" w:eastAsia="zh-CN"/>
        </w:rPr>
      </w:pPr>
      <w:r>
        <w:rPr>
          <w:rFonts w:hint="eastAsia" w:ascii="黑体" w:hAnsi="黑体" w:eastAsia="黑体"/>
          <w:kern w:val="0"/>
          <w:sz w:val="24"/>
          <w:lang w:val="en-US" w:eastAsia="zh-CN"/>
        </w:rPr>
        <w:t>2</w:t>
      </w:r>
      <w:r>
        <w:rPr>
          <w:rFonts w:hint="eastAsia" w:ascii="黑体" w:hAnsi="黑体" w:eastAsia="黑体"/>
          <w:kern w:val="0"/>
          <w:sz w:val="24"/>
        </w:rPr>
        <w:t>.</w:t>
      </w:r>
      <w:r>
        <w:rPr>
          <w:rFonts w:hint="eastAsia" w:ascii="黑体" w:hAnsi="黑体" w:eastAsia="黑体"/>
          <w:kern w:val="0"/>
          <w:sz w:val="24"/>
          <w:lang w:val="en-US" w:eastAsia="zh-CN"/>
        </w:rPr>
        <w:t>6</w:t>
      </w:r>
      <w:r>
        <w:rPr>
          <w:rFonts w:hint="eastAsia" w:ascii="Times New Roman" w:hAnsi="Times New Roman" w:eastAsia="宋体" w:cs="Times New Roman"/>
          <w:kern w:val="0"/>
          <w:sz w:val="24"/>
          <w:szCs w:val="20"/>
          <w:lang w:val="en-US" w:eastAsia="zh-CN" w:bidi="ar-SA"/>
        </w:rPr>
        <w:t xml:space="preserve"> </w:t>
      </w:r>
      <w:r>
        <w:rPr>
          <w:rFonts w:hint="eastAsia" w:ascii="黑体" w:hAnsi="黑体" w:eastAsia="黑体"/>
          <w:kern w:val="0"/>
          <w:sz w:val="24"/>
          <w:lang w:val="zh-CN" w:eastAsia="zh-CN"/>
        </w:rPr>
        <w:t>管控目标值</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根据目前源项调查结果及地下水修复技术可行性初步研判，通过开展人工修复，地浸采铀地下水修复部分特征因子可能仍难以达到农业用水使用功能的限值要求。借鉴美国地浸采铀</w:t>
      </w:r>
      <w:r>
        <w:rPr>
          <w:rFonts w:hint="default" w:ascii="Times New Roman" w:hAnsi="Times New Roman" w:eastAsia="宋体" w:cs="Times New Roman"/>
          <w:sz w:val="24"/>
          <w:szCs w:val="24"/>
          <w:lang w:val="en-US" w:eastAsia="zh-CN"/>
        </w:rPr>
        <w:t>地下水修复目标</w:t>
      </w:r>
      <w:r>
        <w:rPr>
          <w:rFonts w:hint="eastAsia" w:ascii="Times New Roman" w:hAnsi="Times New Roman" w:eastAsia="宋体" w:cs="Times New Roman"/>
          <w:sz w:val="24"/>
          <w:szCs w:val="24"/>
          <w:lang w:val="en-US" w:eastAsia="zh-CN"/>
        </w:rPr>
        <w:t>的管理要求与实践，本标准提出了管控目标值的要求。管控目标值是指</w:t>
      </w:r>
      <w:r>
        <w:rPr>
          <w:rFonts w:hint="eastAsia" w:ascii="Times New Roman" w:hAnsi="Times New Roman" w:eastAsia="宋体" w:cs="Times New Roman"/>
          <w:sz w:val="24"/>
          <w:szCs w:val="24"/>
          <w:lang w:val="zh-CN" w:eastAsia="zh-CN"/>
        </w:rPr>
        <w:t>在合理可行的技术经济水平下，地下水修复无法满足修复目标值要求</w:t>
      </w:r>
      <w:r>
        <w:rPr>
          <w:rFonts w:hint="eastAsia" w:ascii="Times New Roman" w:hAnsi="Times New Roman" w:eastAsia="宋体" w:cs="Times New Roman"/>
          <w:sz w:val="24"/>
          <w:szCs w:val="24"/>
          <w:lang w:val="en-US" w:eastAsia="zh-CN"/>
        </w:rPr>
        <w:t>时</w:t>
      </w:r>
      <w:r>
        <w:rPr>
          <w:rFonts w:hint="eastAsia" w:ascii="Times New Roman" w:hAnsi="Times New Roman" w:eastAsia="宋体" w:cs="Times New Roman"/>
          <w:sz w:val="24"/>
          <w:szCs w:val="24"/>
          <w:lang w:val="zh-CN" w:eastAsia="zh-CN"/>
        </w:rPr>
        <w:t>，</w:t>
      </w:r>
      <w:r>
        <w:rPr>
          <w:rFonts w:hint="eastAsia" w:ascii="Times New Roman" w:hAnsi="Times New Roman" w:eastAsia="宋体" w:cs="Times New Roman"/>
          <w:sz w:val="24"/>
          <w:szCs w:val="24"/>
          <w:lang w:val="en-US" w:eastAsia="zh-CN"/>
        </w:rPr>
        <w:t>根据环境约束条件，基于健康风险评估和环境风险论证提出的目标</w:t>
      </w:r>
      <w:r>
        <w:rPr>
          <w:rFonts w:hint="eastAsia" w:ascii="Times New Roman" w:hAnsi="Times New Roman" w:eastAsia="宋体" w:cs="Times New Roman"/>
          <w:sz w:val="24"/>
          <w:szCs w:val="24"/>
          <w:lang w:val="zh-CN" w:eastAsia="zh-CN"/>
        </w:rPr>
        <w:t>值。</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管控目标值的推导以地下水模拟预测为基础，只有准确刻画场地水文地质条件，才能保证后续溶质运移模拟及管控目标值推导的科学性与可靠性。标准明确了模型建立的核心参数要求，并结合《环境影响评价技术导则 地下水环境》（H</w:t>
      </w:r>
      <w:r>
        <w:rPr>
          <w:rFonts w:hint="default" w:ascii="Times New Roman" w:hAnsi="Times New Roman" w:eastAsia="宋体" w:cs="Times New Roman"/>
          <w:sz w:val="24"/>
          <w:szCs w:val="24"/>
          <w:lang w:val="en-US" w:eastAsia="zh-CN"/>
        </w:rPr>
        <w:t>J610</w:t>
      </w:r>
      <w:r>
        <w:rPr>
          <w:rFonts w:hint="eastAsia" w:ascii="Times New Roman" w:hAnsi="Times New Roman" w:eastAsia="宋体" w:cs="Times New Roman"/>
          <w:sz w:val="24"/>
          <w:szCs w:val="24"/>
          <w:lang w:val="en-US" w:eastAsia="zh-CN"/>
        </w:rPr>
        <w:t>-2016）相关要求，保障模型建立符合国家现行技术规范，确保水文地质模型刻画的专业性与合规性。基于地下水溶质运移理论，标准明确了溶质运移的模拟方法、模拟因子与模拟要求，解析法和数值法覆盖不同场景需求，长时间序列模拟可捕捉污染物浓度随时间的动态变化规律，为后续管控目标值的反推提供数据支撑。</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由于不同场址外围环境不同、水文地质条件不同，地下水环境影响也不同，为提高标准执行的规范性与可操作性，标准规定了地浸采铀地下水风险管控边界。根据国内地浸铀矿山近年来长期监测结果，考虑特征因子在中长期尺度下的迁移扩散范围，结合开采区域下游监测井距离，建议将风险管控范围控制在以原开采区域边界为基准，外扩至监测井距离的范围作为地下水风险管控范围。外扩距离不宜超过GB23727规定的最远监测井距离。风险管控范围边界是特征因子管控的红线，边界处特征因子峰值浓度是管控的核心，应满足工农业用水使用功能的限值要求，即修复目标值要求；以此为约束条件，通过数值模拟推导给出特征因子在原开采区域的管控目标值。根据特征因子迁移扩散规律，特征因子峰值浓度随着与原开采区域距离增加而逐渐降低，因此，确保风险管控范围边界处特征因子浓度峰值不超过修复目标值，即可保障风险管控范围外地下水特征因子浓度满足相关要求。</w:t>
      </w:r>
    </w:p>
    <w:p>
      <w:pPr>
        <w:keepNext w:val="0"/>
        <w:keepLines w:val="0"/>
        <w:pageBreakBefore w:val="0"/>
        <w:widowControl w:val="0"/>
        <w:kinsoku/>
        <w:wordWrap/>
        <w:overflowPunct/>
        <w:topLinePunct w:val="0"/>
        <w:autoSpaceDE/>
        <w:autoSpaceDN/>
        <w:bidi w:val="0"/>
        <w:adjustRightInd/>
        <w:snapToGrid/>
        <w:spacing w:before="240" w:line="360" w:lineRule="auto"/>
        <w:textAlignment w:val="auto"/>
        <w:outlineLvl w:val="2"/>
        <w:rPr>
          <w:rFonts w:hint="default" w:ascii="黑体" w:hAnsi="黑体" w:eastAsia="黑体"/>
          <w:kern w:val="0"/>
          <w:sz w:val="24"/>
          <w:lang w:val="en-US" w:eastAsia="zh-CN"/>
        </w:rPr>
      </w:pPr>
      <w:r>
        <w:rPr>
          <w:rFonts w:hint="eastAsia" w:ascii="黑体" w:hAnsi="黑体" w:eastAsia="黑体"/>
          <w:kern w:val="0"/>
          <w:sz w:val="24"/>
          <w:lang w:val="en-US" w:eastAsia="zh-CN"/>
        </w:rPr>
        <w:t>2</w:t>
      </w:r>
      <w:r>
        <w:rPr>
          <w:rFonts w:hint="eastAsia" w:ascii="黑体" w:hAnsi="黑体" w:eastAsia="黑体"/>
          <w:kern w:val="0"/>
          <w:sz w:val="24"/>
        </w:rPr>
        <w:t>.</w:t>
      </w:r>
      <w:r>
        <w:rPr>
          <w:rFonts w:hint="eastAsia" w:ascii="黑体" w:hAnsi="黑体" w:eastAsia="黑体"/>
          <w:kern w:val="0"/>
          <w:sz w:val="24"/>
          <w:lang w:val="en-US" w:eastAsia="zh-CN"/>
        </w:rPr>
        <w:t>7</w:t>
      </w:r>
      <w:r>
        <w:rPr>
          <w:rFonts w:hint="eastAsia" w:ascii="Times New Roman" w:hAnsi="Times New Roman" w:eastAsia="宋体" w:cs="Times New Roman"/>
          <w:kern w:val="0"/>
          <w:sz w:val="24"/>
          <w:szCs w:val="20"/>
          <w:lang w:val="en-US" w:eastAsia="zh-CN" w:bidi="ar-SA"/>
        </w:rPr>
        <w:t xml:space="preserve"> </w:t>
      </w:r>
      <w:r>
        <w:rPr>
          <w:rFonts w:hint="eastAsia" w:ascii="黑体" w:hAnsi="黑体" w:eastAsia="黑体"/>
          <w:kern w:val="0"/>
          <w:sz w:val="24"/>
          <w:lang w:val="en-US" w:eastAsia="zh-CN"/>
        </w:rPr>
        <w:t>代价利益优化阈值</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zh-CN" w:eastAsia="zh-CN"/>
        </w:rPr>
      </w:pPr>
      <w:r>
        <w:rPr>
          <w:rFonts w:hint="eastAsia" w:ascii="Times New Roman" w:hAnsi="Times New Roman" w:eastAsia="宋体" w:cs="Times New Roman"/>
          <w:sz w:val="24"/>
          <w:szCs w:val="24"/>
          <w:lang w:val="en-US" w:eastAsia="zh-CN"/>
        </w:rPr>
        <w:t>地下水修复工程实施过程中，尤其进入拖尾期后</w:t>
      </w:r>
      <w:r>
        <w:rPr>
          <w:rFonts w:hint="eastAsia" w:ascii="Times New Roman" w:hAnsi="Times New Roman" w:eastAsia="宋体" w:cs="Times New Roman"/>
          <w:sz w:val="24"/>
          <w:szCs w:val="24"/>
          <w:lang w:val="zh-CN" w:eastAsia="zh-CN"/>
        </w:rPr>
        <w:t>，</w:t>
      </w:r>
      <w:r>
        <w:rPr>
          <w:rFonts w:hint="eastAsia" w:ascii="Times New Roman" w:hAnsi="Times New Roman" w:eastAsia="宋体" w:cs="Times New Roman"/>
          <w:sz w:val="24"/>
          <w:szCs w:val="24"/>
          <w:lang w:val="en-US" w:eastAsia="zh-CN"/>
        </w:rPr>
        <w:t>不排除存在以现有的技术水平、合理的时间和资金投入条件下，目标特征因子难以达到管控目标值的情况。这种情况下，宜根据环境、技术、经济约束条件进行综合评估，提出</w:t>
      </w:r>
      <w:r>
        <w:rPr>
          <w:rFonts w:hint="eastAsia" w:ascii="Times New Roman" w:hAnsi="Times New Roman" w:eastAsia="宋体" w:cs="Times New Roman"/>
          <w:sz w:val="24"/>
          <w:szCs w:val="24"/>
          <w:lang w:val="zh-CN" w:eastAsia="zh-CN"/>
        </w:rPr>
        <w:t>地下水</w:t>
      </w:r>
      <w:r>
        <w:rPr>
          <w:rFonts w:hint="eastAsia" w:ascii="Times New Roman" w:hAnsi="Times New Roman" w:eastAsia="宋体" w:cs="Times New Roman"/>
          <w:sz w:val="24"/>
          <w:szCs w:val="24"/>
          <w:lang w:val="en-US" w:eastAsia="zh-CN"/>
        </w:rPr>
        <w:t>修复代价利益优化阈值。目标特征因子满足代价利益优化阈值要求后，对地下水风险管控</w:t>
      </w:r>
      <w:r>
        <w:rPr>
          <w:rFonts w:hint="eastAsia" w:ascii="Times New Roman" w:hAnsi="Times New Roman" w:eastAsia="宋体" w:cs="Times New Roman"/>
          <w:sz w:val="24"/>
          <w:szCs w:val="24"/>
          <w:lang w:val="zh-CN" w:eastAsia="zh-CN"/>
        </w:rPr>
        <w:t>区域</w:t>
      </w:r>
      <w:r>
        <w:rPr>
          <w:rFonts w:hint="eastAsia" w:ascii="Times New Roman" w:hAnsi="Times New Roman" w:eastAsia="宋体" w:cs="Times New Roman"/>
          <w:sz w:val="24"/>
          <w:szCs w:val="24"/>
          <w:lang w:val="en-US" w:eastAsia="zh-CN"/>
        </w:rPr>
        <w:t>开展</w:t>
      </w:r>
      <w:r>
        <w:rPr>
          <w:rFonts w:hint="eastAsia" w:ascii="Times New Roman" w:hAnsi="Times New Roman" w:eastAsia="宋体" w:cs="Times New Roman"/>
          <w:sz w:val="24"/>
          <w:szCs w:val="24"/>
          <w:lang w:val="zh-CN" w:eastAsia="zh-CN"/>
        </w:rPr>
        <w:t>长期监测，直至</w:t>
      </w:r>
      <w:r>
        <w:rPr>
          <w:rFonts w:hint="eastAsia" w:ascii="Times New Roman" w:hAnsi="Times New Roman" w:eastAsia="宋体" w:cs="Times New Roman"/>
          <w:sz w:val="24"/>
          <w:szCs w:val="24"/>
          <w:lang w:val="en-US" w:eastAsia="zh-CN"/>
        </w:rPr>
        <w:t>目标特征因子达到地下水修复目标值</w:t>
      </w:r>
      <w:r>
        <w:rPr>
          <w:rFonts w:hint="eastAsia" w:ascii="Times New Roman" w:hAnsi="Times New Roman" w:eastAsia="宋体" w:cs="Times New Roman"/>
          <w:sz w:val="24"/>
          <w:szCs w:val="24"/>
          <w:lang w:val="zh-CN"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标准水平分析</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《铀矿冶辐射防护和辐射环境保护规定》（GB23727-2020）</w:t>
      </w:r>
      <w:r>
        <w:rPr>
          <w:rFonts w:hint="eastAsia" w:ascii="Times New Roman" w:hAnsi="Times New Roman" w:eastAsia="宋体" w:cs="Times New Roman"/>
          <w:sz w:val="24"/>
          <w:szCs w:val="24"/>
          <w:lang w:val="en-US" w:eastAsia="zh-CN"/>
        </w:rPr>
        <w:t>对</w:t>
      </w:r>
      <w:r>
        <w:rPr>
          <w:rFonts w:hint="default" w:ascii="Times New Roman" w:hAnsi="Times New Roman" w:eastAsia="宋体" w:cs="Times New Roman"/>
          <w:sz w:val="24"/>
          <w:szCs w:val="24"/>
          <w:lang w:val="en-US" w:eastAsia="zh-CN"/>
        </w:rPr>
        <w:t>地浸</w:t>
      </w:r>
      <w:r>
        <w:rPr>
          <w:rFonts w:hint="eastAsia" w:ascii="Times New Roman" w:hAnsi="Times New Roman" w:eastAsia="宋体" w:cs="Times New Roman"/>
          <w:sz w:val="24"/>
          <w:szCs w:val="24"/>
          <w:lang w:val="en-US" w:eastAsia="zh-CN"/>
        </w:rPr>
        <w:t>采铀</w:t>
      </w:r>
      <w:r>
        <w:rPr>
          <w:rFonts w:hint="default" w:ascii="Times New Roman" w:hAnsi="Times New Roman" w:eastAsia="宋体" w:cs="Times New Roman"/>
          <w:sz w:val="24"/>
          <w:szCs w:val="24"/>
          <w:lang w:val="en-US" w:eastAsia="zh-CN"/>
        </w:rPr>
        <w:t>地下水修复目标</w:t>
      </w:r>
      <w:r>
        <w:rPr>
          <w:rFonts w:hint="eastAsia" w:ascii="Times New Roman" w:hAnsi="Times New Roman" w:eastAsia="宋体" w:cs="Times New Roman"/>
          <w:sz w:val="24"/>
          <w:szCs w:val="24"/>
          <w:lang w:val="en-US" w:eastAsia="zh-CN"/>
        </w:rPr>
        <w:t>做了原则性规定。</w:t>
      </w:r>
      <w:r>
        <w:rPr>
          <w:rFonts w:hint="default" w:ascii="Times New Roman" w:hAnsi="Times New Roman" w:eastAsia="宋体" w:cs="Times New Roman"/>
          <w:sz w:val="24"/>
          <w:szCs w:val="24"/>
          <w:lang w:val="en-US" w:eastAsia="zh-CN"/>
        </w:rPr>
        <w:t>当前，地浸</w:t>
      </w:r>
      <w:r>
        <w:rPr>
          <w:rFonts w:hint="eastAsia" w:ascii="Times New Roman" w:hAnsi="Times New Roman" w:eastAsia="宋体" w:cs="Times New Roman"/>
          <w:sz w:val="24"/>
          <w:szCs w:val="24"/>
          <w:lang w:val="en-US" w:eastAsia="zh-CN"/>
        </w:rPr>
        <w:t>采铀</w:t>
      </w:r>
      <w:r>
        <w:rPr>
          <w:rFonts w:hint="default" w:ascii="Times New Roman" w:hAnsi="Times New Roman" w:eastAsia="宋体" w:cs="Times New Roman"/>
          <w:sz w:val="24"/>
          <w:szCs w:val="24"/>
          <w:lang w:val="en-US" w:eastAsia="zh-CN"/>
        </w:rPr>
        <w:t>地下水修复尚处于</w:t>
      </w:r>
      <w:r>
        <w:rPr>
          <w:rFonts w:hint="eastAsia" w:ascii="Times New Roman" w:hAnsi="Times New Roman" w:eastAsia="宋体" w:cs="Times New Roman"/>
          <w:color w:val="000000" w:themeColor="text1"/>
          <w:sz w:val="24"/>
          <w:lang w:val="en-US" w:eastAsia="zh-CN"/>
          <w14:textFill>
            <w14:solidFill>
              <w14:schemeClr w14:val="tx1"/>
            </w14:solidFill>
          </w14:textFill>
        </w:rPr>
        <w:t>起步</w:t>
      </w:r>
      <w:r>
        <w:rPr>
          <w:rFonts w:hint="default" w:ascii="Times New Roman" w:hAnsi="Times New Roman" w:eastAsia="宋体" w:cs="Times New Roman"/>
          <w:color w:val="000000" w:themeColor="text1"/>
          <w:sz w:val="24"/>
          <w:lang w:val="en-US" w:eastAsia="zh-CN"/>
          <w14:textFill>
            <w14:solidFill>
              <w14:schemeClr w14:val="tx1"/>
            </w14:solidFill>
          </w14:textFill>
        </w:rPr>
        <w:t>研究</w:t>
      </w:r>
      <w:r>
        <w:rPr>
          <w:rFonts w:hint="eastAsia" w:ascii="Times New Roman" w:hAnsi="Times New Roman" w:eastAsia="宋体" w:cs="Times New Roman"/>
          <w:color w:val="000000" w:themeColor="text1"/>
          <w:sz w:val="24"/>
          <w:lang w:val="en-US" w:eastAsia="zh-CN"/>
          <w14:textFill>
            <w14:solidFill>
              <w14:schemeClr w14:val="tx1"/>
            </w14:solidFill>
          </w14:textFill>
        </w:rPr>
        <w:t>与</w:t>
      </w:r>
      <w:r>
        <w:rPr>
          <w:rFonts w:hint="eastAsia" w:ascii="Times New Roman" w:hAnsi="Times New Roman" w:eastAsia="宋体" w:cs="Times New Roman"/>
          <w:sz w:val="24"/>
          <w:szCs w:val="24"/>
          <w:lang w:val="en-US" w:eastAsia="zh-CN"/>
        </w:rPr>
        <w:t>探索推进</w:t>
      </w:r>
      <w:r>
        <w:rPr>
          <w:rFonts w:hint="default" w:ascii="Times New Roman" w:hAnsi="Times New Roman" w:eastAsia="宋体" w:cs="Times New Roman"/>
          <w:sz w:val="24"/>
          <w:szCs w:val="24"/>
          <w:lang w:val="en-US" w:eastAsia="zh-CN"/>
        </w:rPr>
        <w:t>阶段，</w:t>
      </w:r>
      <w:r>
        <w:rPr>
          <w:rFonts w:hint="eastAsia" w:ascii="Times New Roman" w:hAnsi="Times New Roman" w:eastAsia="宋体" w:cs="Times New Roman"/>
          <w:sz w:val="24"/>
          <w:szCs w:val="24"/>
          <w:lang w:val="en-US" w:eastAsia="zh-CN"/>
        </w:rPr>
        <w:t>针对</w:t>
      </w:r>
      <w:r>
        <w:rPr>
          <w:rFonts w:hint="default" w:ascii="Times New Roman" w:hAnsi="Times New Roman" w:eastAsia="宋体" w:cs="Times New Roman"/>
          <w:sz w:val="24"/>
          <w:szCs w:val="24"/>
          <w:lang w:val="en-US" w:eastAsia="zh-CN"/>
        </w:rPr>
        <w:t>地浸</w:t>
      </w:r>
      <w:r>
        <w:rPr>
          <w:rFonts w:hint="eastAsia" w:ascii="Times New Roman" w:hAnsi="Times New Roman" w:eastAsia="宋体" w:cs="Times New Roman"/>
          <w:sz w:val="24"/>
          <w:szCs w:val="24"/>
          <w:lang w:val="en-US" w:eastAsia="zh-CN"/>
        </w:rPr>
        <w:t>采铀</w:t>
      </w:r>
      <w:r>
        <w:rPr>
          <w:rFonts w:hint="default" w:ascii="Times New Roman" w:hAnsi="Times New Roman" w:eastAsia="宋体" w:cs="Times New Roman"/>
          <w:sz w:val="24"/>
          <w:szCs w:val="24"/>
          <w:lang w:val="en-US" w:eastAsia="zh-CN"/>
        </w:rPr>
        <w:t>地下水修复目标</w:t>
      </w:r>
      <w:r>
        <w:rPr>
          <w:rFonts w:hint="eastAsia" w:ascii="Times New Roman" w:hAnsi="Times New Roman" w:eastAsia="宋体" w:cs="Times New Roman"/>
          <w:sz w:val="24"/>
          <w:szCs w:val="24"/>
          <w:lang w:val="en-US" w:eastAsia="zh-CN"/>
        </w:rPr>
        <w:t>的确定，国内目前缺失科学实用、操作性强、用于指导实践的标准规范。</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本标准的制定</w:t>
      </w:r>
      <w:r>
        <w:rPr>
          <w:rFonts w:hint="eastAsia" w:ascii="Times New Roman" w:hAnsi="Times New Roman" w:eastAsia="宋体" w:cs="Times New Roman"/>
          <w:sz w:val="24"/>
          <w:szCs w:val="24"/>
          <w:lang w:val="en-US" w:eastAsia="zh-CN"/>
        </w:rPr>
        <w:t>引用和</w:t>
      </w:r>
      <w:r>
        <w:rPr>
          <w:rFonts w:hint="default" w:ascii="Times New Roman" w:hAnsi="Times New Roman" w:eastAsia="宋体" w:cs="Times New Roman"/>
          <w:sz w:val="24"/>
          <w:szCs w:val="24"/>
          <w:lang w:val="en-US" w:eastAsia="zh-CN"/>
        </w:rPr>
        <w:t>参考了GB14586、GB23726、GB23727等铀矿冶领域相关标准，以及GB5749、GB/T14848、HJ25.6等</w:t>
      </w:r>
      <w:r>
        <w:rPr>
          <w:rFonts w:hint="eastAsia" w:ascii="Times New Roman" w:hAnsi="Times New Roman" w:eastAsia="宋体" w:cs="Times New Roman"/>
          <w:sz w:val="24"/>
          <w:szCs w:val="24"/>
          <w:lang w:val="en-US" w:eastAsia="zh-CN"/>
        </w:rPr>
        <w:t>其他</w:t>
      </w:r>
      <w:r>
        <w:rPr>
          <w:rFonts w:hint="default" w:ascii="Times New Roman" w:hAnsi="Times New Roman" w:eastAsia="宋体" w:cs="Times New Roman"/>
          <w:sz w:val="24"/>
          <w:szCs w:val="24"/>
          <w:lang w:val="en-US" w:eastAsia="zh-CN"/>
        </w:rPr>
        <w:t>国家</w:t>
      </w:r>
      <w:r>
        <w:rPr>
          <w:rFonts w:hint="eastAsia" w:ascii="Times New Roman" w:hAnsi="Times New Roman" w:eastAsia="宋体" w:cs="Times New Roman"/>
          <w:sz w:val="24"/>
          <w:szCs w:val="24"/>
          <w:lang w:val="en-US" w:eastAsia="zh-CN"/>
        </w:rPr>
        <w:t>标准或</w:t>
      </w:r>
      <w:r>
        <w:rPr>
          <w:rFonts w:hint="default" w:ascii="Times New Roman" w:hAnsi="Times New Roman" w:eastAsia="宋体" w:cs="Times New Roman"/>
          <w:sz w:val="24"/>
          <w:szCs w:val="24"/>
          <w:lang w:val="en-US" w:eastAsia="zh-CN"/>
        </w:rPr>
        <w:t>行业标准</w:t>
      </w:r>
      <w:r>
        <w:rPr>
          <w:rFonts w:hint="eastAsia" w:ascii="Times New Roman" w:hAnsi="Times New Roman" w:eastAsia="宋体" w:cs="Times New Roman"/>
          <w:sz w:val="24"/>
          <w:szCs w:val="24"/>
          <w:lang w:val="en-US" w:eastAsia="zh-CN"/>
        </w:rPr>
        <w:t>；科学借鉴了IAEA、美国等地浸采铀</w:t>
      </w:r>
      <w:r>
        <w:rPr>
          <w:rFonts w:hint="default" w:ascii="Times New Roman" w:hAnsi="Times New Roman" w:eastAsia="宋体" w:cs="Times New Roman"/>
          <w:sz w:val="24"/>
          <w:szCs w:val="24"/>
          <w:lang w:val="en-US" w:eastAsia="zh-CN"/>
        </w:rPr>
        <w:t>地下水修复目标</w:t>
      </w:r>
      <w:r>
        <w:rPr>
          <w:rFonts w:hint="eastAsia" w:ascii="Times New Roman" w:hAnsi="Times New Roman" w:eastAsia="宋体" w:cs="Times New Roman"/>
          <w:sz w:val="24"/>
          <w:szCs w:val="24"/>
          <w:lang w:val="en-US" w:eastAsia="zh-CN"/>
        </w:rPr>
        <w:t>的管理要求与实践。本标准将真正用于</w:t>
      </w:r>
      <w:r>
        <w:rPr>
          <w:rFonts w:hint="default" w:ascii="Times New Roman" w:hAnsi="Times New Roman" w:eastAsia="宋体" w:cs="Times New Roman"/>
          <w:sz w:val="24"/>
          <w:szCs w:val="24"/>
          <w:lang w:val="en-US" w:eastAsia="zh-CN"/>
        </w:rPr>
        <w:t>指导我国地浸采铀地下水修复实践，保障地浸铀矿</w:t>
      </w:r>
      <w:r>
        <w:rPr>
          <w:rFonts w:hint="eastAsia" w:ascii="Times New Roman" w:hAnsi="Times New Roman" w:eastAsia="宋体" w:cs="Times New Roman"/>
          <w:sz w:val="24"/>
          <w:szCs w:val="24"/>
          <w:lang w:val="en-US" w:eastAsia="zh-CN"/>
        </w:rPr>
        <w:t>山</w:t>
      </w:r>
      <w:r>
        <w:rPr>
          <w:rFonts w:hint="default" w:ascii="Times New Roman" w:hAnsi="Times New Roman" w:eastAsia="宋体" w:cs="Times New Roman"/>
          <w:sz w:val="24"/>
          <w:szCs w:val="24"/>
          <w:lang w:val="en-US" w:eastAsia="zh-CN"/>
        </w:rPr>
        <w:t>退役后地下水环境的长久安全与风险可控，保护公众健康。</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与有关的现行法律、法规和强制性国家标准的关系</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本标准与我国的现行法律、法规和强制性国家标准没有冲突。</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重大分歧意见的处理经过和依据</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无重大分歧意见。</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涉及专利的有关说明</w:t>
      </w:r>
    </w:p>
    <w:p>
      <w:pPr>
        <w:spacing w:before="240" w:after="240" w:line="360" w:lineRule="auto"/>
        <w:ind w:left="720"/>
        <w:rPr>
          <w:rFonts w:hint="eastAsia"/>
        </w:rPr>
      </w:pPr>
      <w:r>
        <w:rPr>
          <w:rFonts w:ascii="Times New Roman" w:hAnsi="Times New Roman" w:cs="Times New Roman"/>
          <w:color w:val="000000" w:themeColor="text1"/>
          <w:sz w:val="24"/>
          <w:szCs w:val="24"/>
          <w14:textFill>
            <w14:solidFill>
              <w14:schemeClr w14:val="tx1"/>
            </w14:solidFill>
          </w14:textFill>
        </w:rPr>
        <w:t>不涉及。</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贯彻标准的要求和措施建议</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我国“十五五”规划纲要提出了加强老旧设施退役治理和放射性废物处置，实施地下水保护治理行动等要求。随着我国</w:t>
      </w:r>
      <w:r>
        <w:rPr>
          <w:rFonts w:hint="default" w:ascii="Times New Roman" w:hAnsi="Times New Roman" w:eastAsia="宋体" w:cs="Times New Roman"/>
          <w:sz w:val="24"/>
          <w:szCs w:val="24"/>
          <w:lang w:val="en-US" w:eastAsia="zh-CN"/>
        </w:rPr>
        <w:t>地浸铀矿</w:t>
      </w:r>
      <w:r>
        <w:rPr>
          <w:rFonts w:hint="eastAsia" w:ascii="Times New Roman" w:hAnsi="Times New Roman" w:eastAsia="宋体" w:cs="Times New Roman"/>
          <w:sz w:val="24"/>
          <w:szCs w:val="24"/>
          <w:lang w:val="en-US" w:eastAsia="zh-CN"/>
        </w:rPr>
        <w:t>山</w:t>
      </w:r>
      <w:r>
        <w:rPr>
          <w:rFonts w:hint="default" w:ascii="Times New Roman" w:hAnsi="Times New Roman" w:eastAsia="宋体" w:cs="Times New Roman"/>
          <w:sz w:val="24"/>
          <w:szCs w:val="24"/>
          <w:lang w:val="en-US" w:eastAsia="zh-CN"/>
        </w:rPr>
        <w:t>停采待退役采区数量的增加、生态环境保护要求的提高和行业绿色高质量发展的需求，地下水修复亟需提上日程</w:t>
      </w:r>
      <w:r>
        <w:rPr>
          <w:rFonts w:hint="eastAsia" w:ascii="Times New Roman" w:hAnsi="Times New Roman" w:eastAsia="宋体" w:cs="Times New Roman"/>
          <w:sz w:val="24"/>
          <w:szCs w:val="24"/>
          <w:lang w:val="en-US" w:eastAsia="zh-CN"/>
        </w:rPr>
        <w:t>，监管部门近年来也多次提出</w:t>
      </w:r>
      <w:r>
        <w:rPr>
          <w:rFonts w:hint="eastAsia" w:ascii="Times New Roman" w:hAnsi="Times New Roman" w:eastAsia="宋体" w:cs="Times New Roman"/>
          <w:sz w:val="24"/>
          <w:szCs w:val="24"/>
          <w:lang w:val="en-US" w:eastAsia="zh-CN"/>
        </w:rPr>
        <w:fldChar w:fldCharType="begin"/>
      </w:r>
      <w:r>
        <w:rPr>
          <w:rFonts w:hint="eastAsia" w:ascii="Times New Roman" w:hAnsi="Times New Roman" w:eastAsia="宋体" w:cs="Times New Roman"/>
          <w:sz w:val="24"/>
          <w:szCs w:val="24"/>
          <w:lang w:val="en-US" w:eastAsia="zh-CN"/>
        </w:rPr>
        <w:instrText xml:space="preserve"> HYPERLINK "javascript:void(0)" </w:instrText>
      </w:r>
      <w:r>
        <w:rPr>
          <w:rFonts w:hint="eastAsia" w:ascii="Times New Roman" w:hAnsi="Times New Roman" w:eastAsia="宋体" w:cs="Times New Roman"/>
          <w:sz w:val="24"/>
          <w:szCs w:val="24"/>
          <w:lang w:val="en-US" w:eastAsia="zh-CN"/>
        </w:rPr>
        <w:fldChar w:fldCharType="separate"/>
      </w:r>
      <w:r>
        <w:rPr>
          <w:rFonts w:hint="eastAsia" w:ascii="Times New Roman" w:hAnsi="Times New Roman" w:eastAsia="宋体" w:cs="Times New Roman"/>
          <w:sz w:val="24"/>
          <w:szCs w:val="24"/>
          <w:lang w:val="en-US" w:eastAsia="zh-CN"/>
        </w:rPr>
        <w:t>加快推动地浸铀矿山停采采区地下水修复的要求。标准制定发布后，应尽快根据标准要求开展</w:t>
      </w:r>
      <w:r>
        <w:rPr>
          <w:rFonts w:hint="default" w:ascii="Times New Roman" w:hAnsi="Times New Roman" w:eastAsia="宋体" w:cs="Times New Roman"/>
          <w:sz w:val="24"/>
          <w:szCs w:val="24"/>
          <w:lang w:val="en-US" w:eastAsia="zh-CN"/>
        </w:rPr>
        <w:t>地浸</w:t>
      </w:r>
      <w:r>
        <w:rPr>
          <w:rFonts w:hint="eastAsia" w:ascii="Times New Roman" w:hAnsi="Times New Roman" w:eastAsia="宋体" w:cs="Times New Roman"/>
          <w:sz w:val="24"/>
          <w:szCs w:val="24"/>
          <w:lang w:val="en-US" w:eastAsia="zh-CN"/>
        </w:rPr>
        <w:t>采铀</w:t>
      </w:r>
      <w:r>
        <w:rPr>
          <w:rFonts w:hint="default" w:ascii="Times New Roman" w:hAnsi="Times New Roman" w:eastAsia="宋体" w:cs="Times New Roman"/>
          <w:sz w:val="24"/>
          <w:szCs w:val="24"/>
          <w:lang w:val="en-US" w:eastAsia="zh-CN"/>
        </w:rPr>
        <w:t>地下水修复</w:t>
      </w:r>
      <w:r>
        <w:rPr>
          <w:rFonts w:hint="eastAsia" w:ascii="Times New Roman" w:hAnsi="Times New Roman" w:eastAsia="宋体" w:cs="Times New Roman"/>
          <w:sz w:val="24"/>
          <w:szCs w:val="24"/>
          <w:lang w:val="en-US" w:eastAsia="zh-CN"/>
        </w:rPr>
        <w:t>目标确定工作，推动地下水修复实质性开展。</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fldChar w:fldCharType="end"/>
      </w:r>
      <w:r>
        <w:rPr>
          <w:rFonts w:hint="eastAsia" w:ascii="Times New Roman" w:hAnsi="Times New Roman" w:eastAsia="宋体" w:cs="Times New Roman"/>
          <w:sz w:val="24"/>
          <w:szCs w:val="24"/>
          <w:lang w:val="en-US" w:eastAsia="zh-CN"/>
        </w:rPr>
        <w:t>标准起草过程中</w:t>
      </w:r>
      <w:r>
        <w:rPr>
          <w:rFonts w:hint="default" w:ascii="Times New Roman" w:hAnsi="Times New Roman" w:eastAsia="宋体" w:cs="Times New Roman"/>
          <w:sz w:val="24"/>
          <w:szCs w:val="24"/>
          <w:lang w:val="en-US" w:eastAsia="zh-CN"/>
        </w:rPr>
        <w:t>力求</w:t>
      </w:r>
      <w:r>
        <w:rPr>
          <w:rFonts w:hint="eastAsia" w:ascii="Times New Roman" w:hAnsi="Times New Roman" w:eastAsia="宋体" w:cs="Times New Roman"/>
          <w:sz w:val="24"/>
          <w:szCs w:val="24"/>
          <w:lang w:val="en-US" w:eastAsia="zh-CN"/>
        </w:rPr>
        <w:t>科学、适用</w:t>
      </w:r>
      <w:r>
        <w:rPr>
          <w:rFonts w:hint="default" w:ascii="Times New Roman" w:hAnsi="Times New Roman" w:eastAsia="宋体" w:cs="Times New Roman"/>
          <w:sz w:val="24"/>
          <w:szCs w:val="24"/>
          <w:lang w:val="en-US" w:eastAsia="zh-CN"/>
        </w:rPr>
        <w:t>、准确</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规范</w:t>
      </w:r>
      <w:r>
        <w:rPr>
          <w:rFonts w:hint="eastAsia" w:ascii="Times New Roman" w:hAnsi="Times New Roman" w:eastAsia="宋体" w:cs="Times New Roman"/>
          <w:sz w:val="24"/>
          <w:szCs w:val="24"/>
          <w:lang w:val="en-US" w:eastAsia="zh-CN"/>
        </w:rPr>
        <w:t>，标准内容基本满足地浸采铀地下水修复目标确定的需求，但难免有不妥之处，</w:t>
      </w:r>
      <w:r>
        <w:rPr>
          <w:rFonts w:hint="default" w:ascii="Times New Roman" w:hAnsi="Times New Roman" w:eastAsia="宋体" w:cs="Times New Roman"/>
          <w:sz w:val="24"/>
          <w:szCs w:val="24"/>
          <w:lang w:val="en-US" w:eastAsia="zh-CN"/>
        </w:rPr>
        <w:t>恳请提出宝贵意见</w:t>
      </w:r>
      <w:r>
        <w:rPr>
          <w:rFonts w:hint="eastAsia" w:ascii="Times New Roman" w:hAnsi="Times New Roman" w:eastAsia="宋体" w:cs="Times New Roman"/>
          <w:sz w:val="24"/>
          <w:szCs w:val="24"/>
          <w:lang w:val="en-US" w:eastAsia="zh-CN"/>
        </w:rPr>
        <w:t>建议</w:t>
      </w:r>
      <w:r>
        <w:rPr>
          <w:rFonts w:hint="default" w:ascii="Times New Roman" w:hAnsi="Times New Roman" w:eastAsia="宋体" w:cs="Times New Roman"/>
          <w:sz w:val="24"/>
          <w:szCs w:val="24"/>
          <w:lang w:val="en-US" w:eastAsia="zh-CN"/>
        </w:rPr>
        <w:t>，以便修改完善</w:t>
      </w:r>
      <w:r>
        <w:rPr>
          <w:rFonts w:hint="eastAsia" w:ascii="Times New Roman" w:hAnsi="Times New Roman" w:eastAsia="宋体" w:cs="Times New Roman"/>
          <w:sz w:val="24"/>
          <w:szCs w:val="24"/>
          <w:lang w:val="en-US" w:eastAsia="zh-CN"/>
        </w:rPr>
        <w:t>；标准发布后，也应结合地下水修复工作实践，及时优化完善。</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废止现有有关标准的建议</w:t>
      </w:r>
    </w:p>
    <w:p>
      <w:pPr>
        <w:spacing w:before="240" w:after="240" w:line="360" w:lineRule="auto"/>
        <w:ind w:left="720"/>
        <w:rPr>
          <w:rFonts w:hint="eastAsia"/>
        </w:rPr>
      </w:pPr>
      <w:r>
        <w:rPr>
          <w:rFonts w:ascii="Times New Roman" w:hAnsi="Times New Roman" w:cs="Times New Roman"/>
          <w:color w:val="000000" w:themeColor="text1"/>
          <w:sz w:val="24"/>
          <w:szCs w:val="24"/>
          <w14:textFill>
            <w14:solidFill>
              <w14:schemeClr w14:val="tx1"/>
            </w14:solidFill>
          </w14:textFill>
        </w:rPr>
        <w:t>不涉及。</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预期效果</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目前，中核铀业正在全力开展地浸采铀地下水修复示范工程相关工作，</w:t>
      </w:r>
      <w:r>
        <w:rPr>
          <w:rFonts w:hint="eastAsia" w:ascii="Times New Roman" w:hAnsi="Times New Roman" w:eastAsia="宋体" w:cs="Times New Roman"/>
          <w:sz w:val="24"/>
          <w:szCs w:val="24"/>
          <w:lang w:val="en-US" w:eastAsia="zh-CN"/>
        </w:rPr>
        <w:t>“十五五”期间还会启动更多地下水修复工程，标准的发布将为地下水修复实质性开展提供科学依据、做到保驾护航，实现在合理可行的技术经济水平下，满足美丽中国</w:t>
      </w:r>
      <w:r>
        <w:rPr>
          <w:rFonts w:hint="default" w:ascii="Times New Roman" w:hAnsi="Times New Roman" w:eastAsia="宋体" w:cs="Times New Roman"/>
          <w:sz w:val="24"/>
          <w:szCs w:val="24"/>
          <w:lang w:val="en-US" w:eastAsia="zh-CN"/>
        </w:rPr>
        <w:t>建设和</w:t>
      </w:r>
      <w:r>
        <w:rPr>
          <w:rFonts w:hint="eastAsia" w:ascii="Times New Roman" w:hAnsi="Times New Roman" w:eastAsia="宋体" w:cs="Times New Roman"/>
          <w:sz w:val="24"/>
          <w:szCs w:val="24"/>
          <w:lang w:val="en-US" w:eastAsia="zh-CN"/>
        </w:rPr>
        <w:t>天然铀产业绿色高质量发展的目标。</w:t>
      </w:r>
      <w:bookmarkStart w:id="14" w:name="_GoBack"/>
      <w:bookmarkEnd w:id="14"/>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参考资料清单</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 《</w:t>
      </w:r>
      <w:r>
        <w:rPr>
          <w:rFonts w:hint="default" w:ascii="Times New Roman" w:hAnsi="Times New Roman" w:eastAsia="宋体" w:cs="Times New Roman"/>
          <w:sz w:val="24"/>
          <w:szCs w:val="24"/>
          <w:lang w:val="en-US" w:eastAsia="zh-CN"/>
        </w:rPr>
        <w:t>生活饮用水卫生标准</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GB</w:t>
      </w:r>
      <w:r>
        <w:rPr>
          <w:rFonts w:hint="eastAsia" w:ascii="Times New Roman" w:hAnsi="Times New Roman" w:eastAsia="宋体" w:cs="Times New Roman"/>
          <w:sz w:val="24"/>
          <w:szCs w:val="24"/>
          <w:lang w:val="en-US" w:eastAsia="zh-CN"/>
        </w:rPr>
        <w:t>5749-2022）；</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 </w:t>
      </w:r>
      <w:r>
        <w:rPr>
          <w:rFonts w:hint="default" w:ascii="Times New Roman" w:hAnsi="Times New Roman" w:eastAsia="宋体" w:cs="Times New Roman"/>
          <w:sz w:val="24"/>
          <w:szCs w:val="24"/>
          <w:lang w:val="en-US" w:eastAsia="zh-CN"/>
        </w:rPr>
        <w:t>《铀矿冶辐射防护和辐射环境保护规定》（GB23727-2020）</w:t>
      </w:r>
      <w:r>
        <w:rPr>
          <w:rFonts w:hint="eastAsia" w:ascii="Times New Roman" w:hAnsi="Times New Roman" w:eastAsia="宋体" w:cs="Times New Roman"/>
          <w:sz w:val="24"/>
          <w:szCs w:val="24"/>
          <w:lang w:val="en-US" w:eastAsia="zh-CN"/>
        </w:rPr>
        <w:t>；</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 《</w:t>
      </w:r>
      <w:r>
        <w:rPr>
          <w:rFonts w:hint="default" w:ascii="Times New Roman" w:hAnsi="Times New Roman" w:eastAsia="宋体" w:cs="Times New Roman"/>
          <w:sz w:val="24"/>
          <w:szCs w:val="24"/>
          <w:lang w:val="en-US" w:eastAsia="zh-CN"/>
        </w:rPr>
        <w:t>污染地块地下水修复和风险管控技术导则</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HJ25.6</w:t>
      </w:r>
      <w:r>
        <w:rPr>
          <w:rFonts w:hint="eastAsia" w:ascii="Times New Roman" w:hAnsi="Times New Roman" w:eastAsia="宋体" w:cs="Times New Roman"/>
          <w:sz w:val="24"/>
          <w:szCs w:val="24"/>
          <w:lang w:val="en-US" w:eastAsia="zh-CN"/>
        </w:rPr>
        <w:t>-2019）；</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 《</w:t>
      </w:r>
      <w:r>
        <w:rPr>
          <w:rFonts w:hint="default" w:ascii="Times New Roman" w:hAnsi="Times New Roman" w:eastAsia="宋体" w:cs="Times New Roman"/>
          <w:sz w:val="24"/>
          <w:szCs w:val="24"/>
          <w:lang w:val="en-US" w:eastAsia="zh-CN"/>
        </w:rPr>
        <w:t xml:space="preserve">环境影响评价技术导则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地下水环境</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HJ610</w:t>
      </w:r>
      <w:r>
        <w:rPr>
          <w:rFonts w:hint="eastAsia" w:ascii="Times New Roman" w:hAnsi="Times New Roman" w:eastAsia="宋体" w:cs="Times New Roman"/>
          <w:sz w:val="24"/>
          <w:szCs w:val="24"/>
          <w:lang w:val="en-US" w:eastAsia="zh-CN"/>
        </w:rPr>
        <w:t>-2016）；</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 《</w:t>
      </w:r>
      <w:r>
        <w:rPr>
          <w:rFonts w:hint="default" w:ascii="Times New Roman" w:hAnsi="Times New Roman" w:eastAsia="宋体" w:cs="Times New Roman"/>
          <w:sz w:val="24"/>
          <w:szCs w:val="24"/>
          <w:lang w:val="en-US" w:eastAsia="zh-CN"/>
        </w:rPr>
        <w:t>环境影响评价技术导则  铀矿冶退役</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HJ1015.2</w:t>
      </w:r>
      <w:r>
        <w:rPr>
          <w:rFonts w:hint="eastAsia" w:ascii="Times New Roman" w:hAnsi="Times New Roman" w:eastAsia="宋体" w:cs="Times New Roman"/>
          <w:sz w:val="24"/>
          <w:szCs w:val="24"/>
          <w:lang w:val="en-US" w:eastAsia="zh-CN"/>
        </w:rPr>
        <w:t>-2019）；</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[6] 《</w:t>
      </w:r>
      <w:r>
        <w:rPr>
          <w:rFonts w:hint="default" w:ascii="Times New Roman" w:hAnsi="Times New Roman" w:eastAsia="宋体" w:cs="Times New Roman"/>
          <w:sz w:val="24"/>
          <w:szCs w:val="24"/>
          <w:lang w:val="en-US" w:eastAsia="zh-CN"/>
        </w:rPr>
        <w:t>铀矿冶设施退役</w:t>
      </w:r>
      <w:r>
        <w:rPr>
          <w:rFonts w:hint="eastAsia" w:ascii="Times New Roman" w:hAnsi="Times New Roman" w:eastAsia="宋体" w:cs="Times New Roman"/>
          <w:sz w:val="24"/>
          <w:szCs w:val="24"/>
          <w:lang w:val="en-US" w:eastAsia="zh-CN"/>
        </w:rPr>
        <w:t>辐射</w:t>
      </w:r>
      <w:r>
        <w:rPr>
          <w:rFonts w:hint="default" w:ascii="Times New Roman" w:hAnsi="Times New Roman" w:eastAsia="宋体" w:cs="Times New Roman"/>
          <w:sz w:val="24"/>
          <w:szCs w:val="24"/>
          <w:lang w:val="en-US" w:eastAsia="zh-CN"/>
        </w:rPr>
        <w:t>环境管理技术规定</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GB14586</w:t>
      </w:r>
      <w:r>
        <w:rPr>
          <w:rFonts w:hint="eastAsia" w:ascii="Times New Roman" w:hAnsi="Times New Roman" w:eastAsia="宋体" w:cs="Times New Roman"/>
          <w:sz w:val="24"/>
          <w:szCs w:val="24"/>
          <w:lang w:val="en-US" w:eastAsia="zh-CN"/>
        </w:rPr>
        <w:t>-2026）报批稿；</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[7] 《</w:t>
      </w:r>
      <w:r>
        <w:rPr>
          <w:rFonts w:hint="default" w:ascii="Times New Roman" w:hAnsi="Times New Roman" w:eastAsia="宋体" w:cs="Times New Roman"/>
          <w:sz w:val="24"/>
          <w:szCs w:val="24"/>
          <w:lang w:val="en-US" w:eastAsia="zh-CN"/>
        </w:rPr>
        <w:t>铀矿冶</w:t>
      </w:r>
      <w:r>
        <w:rPr>
          <w:rFonts w:hint="eastAsia" w:ascii="Times New Roman" w:hAnsi="Times New Roman" w:eastAsia="宋体" w:cs="Times New Roman"/>
          <w:sz w:val="24"/>
          <w:szCs w:val="24"/>
          <w:lang w:val="en-US" w:eastAsia="zh-CN"/>
        </w:rPr>
        <w:t>流出物和</w:t>
      </w:r>
      <w:r>
        <w:rPr>
          <w:rFonts w:hint="default" w:ascii="Times New Roman" w:hAnsi="Times New Roman" w:eastAsia="宋体" w:cs="Times New Roman"/>
          <w:sz w:val="24"/>
          <w:szCs w:val="24"/>
          <w:lang w:val="en-US" w:eastAsia="zh-CN"/>
        </w:rPr>
        <w:t>辐射环境监测规定</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GB23726</w:t>
      </w:r>
      <w:r>
        <w:rPr>
          <w:rFonts w:hint="eastAsia" w:ascii="Times New Roman" w:hAnsi="Times New Roman" w:eastAsia="宋体" w:cs="Times New Roman"/>
          <w:sz w:val="24"/>
          <w:szCs w:val="24"/>
          <w:lang w:val="en-US" w:eastAsia="zh-CN"/>
        </w:rPr>
        <w:t>-2026）报批稿；</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[8] 《地下水质量标准》（GB/T14848-2025）报批稿；</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[9] Cameco Resources. Mine Unit 1 Alternate Concentration Limit (ACL) Application Smith Ranch-Highland Mine[R]. Glenrock, Wyoming, 2018；</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[10] Hall S. Groundwater Restoration at Uranium In-Situ Recovery Mines, South Texas Coastal Plain[R]. U.S. Geological Survey, 2009；</w:t>
      </w:r>
    </w:p>
    <w:p>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[11] Health Canada. Guidelines for Canadian Drinking Water Quality—Summary Tables[S]. Water and Air Quality Bureau, Healthy Environments and Consumer Safety Branch, Health Canada, Ottawa, Ontario., 2025。</w:t>
      </w:r>
    </w:p>
    <w:p>
      <w:pPr>
        <w:keepNext w:val="0"/>
        <w:keepLines w:val="0"/>
        <w:pageBreakBefore w:val="0"/>
        <w:widowControl w:val="0"/>
        <w:numPr>
          <w:ilvl w:val="0"/>
          <w:numId w:val="2"/>
        </w:numPr>
        <w:kinsoku/>
        <w:wordWrap/>
        <w:overflowPunct/>
        <w:topLinePunct w:val="0"/>
        <w:autoSpaceDE/>
        <w:autoSpaceDN/>
        <w:bidi w:val="0"/>
        <w:adjustRightInd/>
        <w:snapToGrid/>
        <w:spacing w:before="240" w:after="240" w:line="360" w:lineRule="auto"/>
        <w:textAlignment w:val="auto"/>
        <w:outlineLvl w:val="0"/>
        <w:rPr>
          <w:rFonts w:hint="eastAsia" w:ascii="黑体" w:hAnsi="宋体" w:eastAsia="黑体"/>
          <w:sz w:val="28"/>
          <w:szCs w:val="28"/>
          <w:highlight w:val="none"/>
        </w:rPr>
      </w:pPr>
      <w:r>
        <w:rPr>
          <w:rFonts w:hint="eastAsia" w:ascii="黑体" w:hAnsi="宋体" w:eastAsia="黑体"/>
          <w:sz w:val="28"/>
          <w:szCs w:val="28"/>
          <w:highlight w:val="none"/>
        </w:rPr>
        <w:t>其他应予说明的事项</w:t>
      </w:r>
    </w:p>
    <w:p>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无。</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default" w:ascii="Times New Roman" w:hAnsi="Times New Roman" w:cs="Times New Roman"/>
                              <w:sz w:val="20"/>
                              <w:szCs w:val="20"/>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default" w:ascii="Times New Roman" w:hAnsi="Times New Roman" w:cs="Times New Roman"/>
                        <w:sz w:val="20"/>
                        <w:szCs w:val="20"/>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  \* MERGEFORMAT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w:t>
                          </w:r>
                          <w:r>
                            <w:rPr>
                              <w:rFonts w:hint="default" w:ascii="Times New Roman" w:hAnsi="Times New Roman" w:cs="Times New Roman"/>
                              <w:sz w:val="20"/>
                              <w:szCs w:val="2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  \* MERGEFORMAT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w:t>
                    </w:r>
                    <w:r>
                      <w:rPr>
                        <w:rFonts w:hint="default" w:ascii="Times New Roman" w:hAnsi="Times New Roman" w:cs="Times New Roman"/>
                        <w:sz w:val="20"/>
                        <w:szCs w:val="2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3480C12"/>
    <w:multiLevelType w:val="multilevel"/>
    <w:tmpl w:val="33480C1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D27C4C"/>
    <w:multiLevelType w:val="multilevel"/>
    <w:tmpl w:val="40D27C4C"/>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pStyle w:val="5"/>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1892"/>
        </w:tabs>
        <w:ind w:left="18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4138386E"/>
    <w:multiLevelType w:val="multilevel"/>
    <w:tmpl w:val="413838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879C57D"/>
    <w:multiLevelType w:val="multilevel"/>
    <w:tmpl w:val="4879C57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B3FBD"/>
    <w:rsid w:val="00AB771A"/>
    <w:rsid w:val="01482928"/>
    <w:rsid w:val="016E0039"/>
    <w:rsid w:val="01EE6A86"/>
    <w:rsid w:val="02152118"/>
    <w:rsid w:val="024C0DD3"/>
    <w:rsid w:val="026E7C53"/>
    <w:rsid w:val="02BE7F15"/>
    <w:rsid w:val="03E04B6A"/>
    <w:rsid w:val="0400509F"/>
    <w:rsid w:val="05070A44"/>
    <w:rsid w:val="05444432"/>
    <w:rsid w:val="05AD62FD"/>
    <w:rsid w:val="05E1299B"/>
    <w:rsid w:val="05E71944"/>
    <w:rsid w:val="05F45687"/>
    <w:rsid w:val="064B395F"/>
    <w:rsid w:val="06C47DA6"/>
    <w:rsid w:val="079429FD"/>
    <w:rsid w:val="079A6C79"/>
    <w:rsid w:val="07A53B0C"/>
    <w:rsid w:val="07CF735F"/>
    <w:rsid w:val="07EE658E"/>
    <w:rsid w:val="096F3EBA"/>
    <w:rsid w:val="09781919"/>
    <w:rsid w:val="0A0D43E8"/>
    <w:rsid w:val="0A3D1B44"/>
    <w:rsid w:val="0A461D12"/>
    <w:rsid w:val="0A8F6EE2"/>
    <w:rsid w:val="0AEF291C"/>
    <w:rsid w:val="0B7A5AF9"/>
    <w:rsid w:val="0BD33CF6"/>
    <w:rsid w:val="0BEE66BC"/>
    <w:rsid w:val="0C43782D"/>
    <w:rsid w:val="0C9F46C4"/>
    <w:rsid w:val="0D142104"/>
    <w:rsid w:val="0D294ABD"/>
    <w:rsid w:val="0DC25ACA"/>
    <w:rsid w:val="0DC30FA3"/>
    <w:rsid w:val="0DD46CBF"/>
    <w:rsid w:val="0E28100D"/>
    <w:rsid w:val="0E7E7133"/>
    <w:rsid w:val="0E904E74"/>
    <w:rsid w:val="0F5E4B5A"/>
    <w:rsid w:val="102B2696"/>
    <w:rsid w:val="10692228"/>
    <w:rsid w:val="10863CAA"/>
    <w:rsid w:val="116C1F10"/>
    <w:rsid w:val="11B211CD"/>
    <w:rsid w:val="11B2508B"/>
    <w:rsid w:val="1210229E"/>
    <w:rsid w:val="12344C6A"/>
    <w:rsid w:val="12517BC7"/>
    <w:rsid w:val="130646F2"/>
    <w:rsid w:val="134144C2"/>
    <w:rsid w:val="143D0635"/>
    <w:rsid w:val="14AE78FC"/>
    <w:rsid w:val="154C6009"/>
    <w:rsid w:val="1584665B"/>
    <w:rsid w:val="164D3B25"/>
    <w:rsid w:val="1737182C"/>
    <w:rsid w:val="185276F3"/>
    <w:rsid w:val="1854686E"/>
    <w:rsid w:val="1A242BFF"/>
    <w:rsid w:val="1ABF5F29"/>
    <w:rsid w:val="1B096180"/>
    <w:rsid w:val="1BE109AA"/>
    <w:rsid w:val="1C0D7758"/>
    <w:rsid w:val="1C302443"/>
    <w:rsid w:val="1C6E7533"/>
    <w:rsid w:val="1C7070FC"/>
    <w:rsid w:val="1CA30944"/>
    <w:rsid w:val="1CF71A15"/>
    <w:rsid w:val="1D353CEE"/>
    <w:rsid w:val="1D4F7EA6"/>
    <w:rsid w:val="1D6723C1"/>
    <w:rsid w:val="1E271905"/>
    <w:rsid w:val="1E633846"/>
    <w:rsid w:val="1E6B3AF5"/>
    <w:rsid w:val="1E747060"/>
    <w:rsid w:val="1EA52A9F"/>
    <w:rsid w:val="1EB33B2F"/>
    <w:rsid w:val="1F846974"/>
    <w:rsid w:val="1FEF16F3"/>
    <w:rsid w:val="20B1692F"/>
    <w:rsid w:val="21194658"/>
    <w:rsid w:val="21D4060F"/>
    <w:rsid w:val="22262670"/>
    <w:rsid w:val="22D045F4"/>
    <w:rsid w:val="230F4B13"/>
    <w:rsid w:val="248D0808"/>
    <w:rsid w:val="257A2A20"/>
    <w:rsid w:val="25AD0C5F"/>
    <w:rsid w:val="25B64835"/>
    <w:rsid w:val="2626358E"/>
    <w:rsid w:val="26A807D5"/>
    <w:rsid w:val="275D6CE7"/>
    <w:rsid w:val="27842A64"/>
    <w:rsid w:val="28001512"/>
    <w:rsid w:val="28260A97"/>
    <w:rsid w:val="290C4117"/>
    <w:rsid w:val="29112A2F"/>
    <w:rsid w:val="29CA2318"/>
    <w:rsid w:val="29F66EB4"/>
    <w:rsid w:val="2A0838F5"/>
    <w:rsid w:val="2A115D0A"/>
    <w:rsid w:val="2A297784"/>
    <w:rsid w:val="2AA607D0"/>
    <w:rsid w:val="2B1E7D4C"/>
    <w:rsid w:val="2B7938DE"/>
    <w:rsid w:val="2BD5043D"/>
    <w:rsid w:val="2BE31B69"/>
    <w:rsid w:val="2C062248"/>
    <w:rsid w:val="2C493FB6"/>
    <w:rsid w:val="2C6425E2"/>
    <w:rsid w:val="2C7C4B86"/>
    <w:rsid w:val="2C94532F"/>
    <w:rsid w:val="2D005CE3"/>
    <w:rsid w:val="2D60672F"/>
    <w:rsid w:val="2EA73858"/>
    <w:rsid w:val="2EB96586"/>
    <w:rsid w:val="2FB552C3"/>
    <w:rsid w:val="2FE3129F"/>
    <w:rsid w:val="326B01E8"/>
    <w:rsid w:val="32BA7B27"/>
    <w:rsid w:val="336101CB"/>
    <w:rsid w:val="339B13BA"/>
    <w:rsid w:val="33D33712"/>
    <w:rsid w:val="33E23D2D"/>
    <w:rsid w:val="342F0ABE"/>
    <w:rsid w:val="347D37D4"/>
    <w:rsid w:val="34944EAE"/>
    <w:rsid w:val="34FF0C81"/>
    <w:rsid w:val="354D6802"/>
    <w:rsid w:val="35607A21"/>
    <w:rsid w:val="357C356C"/>
    <w:rsid w:val="35D74958"/>
    <w:rsid w:val="365972C0"/>
    <w:rsid w:val="36705660"/>
    <w:rsid w:val="36D65F31"/>
    <w:rsid w:val="36EA192D"/>
    <w:rsid w:val="37083255"/>
    <w:rsid w:val="3735546B"/>
    <w:rsid w:val="378E47B3"/>
    <w:rsid w:val="380A7980"/>
    <w:rsid w:val="38114D8C"/>
    <w:rsid w:val="382736AC"/>
    <w:rsid w:val="387576D2"/>
    <w:rsid w:val="387A5BCB"/>
    <w:rsid w:val="38E627E6"/>
    <w:rsid w:val="392911B8"/>
    <w:rsid w:val="39647172"/>
    <w:rsid w:val="39B20C35"/>
    <w:rsid w:val="39E27206"/>
    <w:rsid w:val="3B193335"/>
    <w:rsid w:val="3B2A41F6"/>
    <w:rsid w:val="3BCA2797"/>
    <w:rsid w:val="3C4A2E77"/>
    <w:rsid w:val="3C685CAB"/>
    <w:rsid w:val="3CD41DDD"/>
    <w:rsid w:val="3D3562F8"/>
    <w:rsid w:val="3DB20F6E"/>
    <w:rsid w:val="3DC15EDC"/>
    <w:rsid w:val="3DD713D3"/>
    <w:rsid w:val="3E197BF0"/>
    <w:rsid w:val="3EA27882"/>
    <w:rsid w:val="3FB93A98"/>
    <w:rsid w:val="40685F9D"/>
    <w:rsid w:val="40851903"/>
    <w:rsid w:val="40965A05"/>
    <w:rsid w:val="41757BC7"/>
    <w:rsid w:val="418157D2"/>
    <w:rsid w:val="420C0A7B"/>
    <w:rsid w:val="432F1E46"/>
    <w:rsid w:val="433D4ACE"/>
    <w:rsid w:val="4375614B"/>
    <w:rsid w:val="43DD03E0"/>
    <w:rsid w:val="44364BF7"/>
    <w:rsid w:val="4475215D"/>
    <w:rsid w:val="44CE18F2"/>
    <w:rsid w:val="44E51517"/>
    <w:rsid w:val="44F639B0"/>
    <w:rsid w:val="457345FE"/>
    <w:rsid w:val="46A1288A"/>
    <w:rsid w:val="46C07B24"/>
    <w:rsid w:val="470B08EE"/>
    <w:rsid w:val="478A0B6E"/>
    <w:rsid w:val="48B6475B"/>
    <w:rsid w:val="48FA3D25"/>
    <w:rsid w:val="4A605572"/>
    <w:rsid w:val="4B61433A"/>
    <w:rsid w:val="4B870CF6"/>
    <w:rsid w:val="4BCD744A"/>
    <w:rsid w:val="4C0628C9"/>
    <w:rsid w:val="4C9743B6"/>
    <w:rsid w:val="4CF31F51"/>
    <w:rsid w:val="4E273A2E"/>
    <w:rsid w:val="4EC2304B"/>
    <w:rsid w:val="4F7B13E3"/>
    <w:rsid w:val="50BB6F8E"/>
    <w:rsid w:val="50C81F5F"/>
    <w:rsid w:val="510D2307"/>
    <w:rsid w:val="51450D53"/>
    <w:rsid w:val="51D039E3"/>
    <w:rsid w:val="52825F3F"/>
    <w:rsid w:val="52C46FE0"/>
    <w:rsid w:val="53DC46A3"/>
    <w:rsid w:val="53F01145"/>
    <w:rsid w:val="5401713E"/>
    <w:rsid w:val="54077E17"/>
    <w:rsid w:val="548F1F48"/>
    <w:rsid w:val="54DB67C4"/>
    <w:rsid w:val="54FE7594"/>
    <w:rsid w:val="55496DF8"/>
    <w:rsid w:val="554C182C"/>
    <w:rsid w:val="554C4388"/>
    <w:rsid w:val="56584215"/>
    <w:rsid w:val="565D1D96"/>
    <w:rsid w:val="5667735B"/>
    <w:rsid w:val="567658B7"/>
    <w:rsid w:val="57C376EB"/>
    <w:rsid w:val="58156012"/>
    <w:rsid w:val="587163A9"/>
    <w:rsid w:val="58BD095F"/>
    <w:rsid w:val="58C45F33"/>
    <w:rsid w:val="597011ED"/>
    <w:rsid w:val="598D7058"/>
    <w:rsid w:val="5A284778"/>
    <w:rsid w:val="5A742559"/>
    <w:rsid w:val="5ACB5307"/>
    <w:rsid w:val="5B8D62BC"/>
    <w:rsid w:val="5BBF2E53"/>
    <w:rsid w:val="5BE1359A"/>
    <w:rsid w:val="5BFA4673"/>
    <w:rsid w:val="5C5026F7"/>
    <w:rsid w:val="5C946D1A"/>
    <w:rsid w:val="5CC475BF"/>
    <w:rsid w:val="5D751817"/>
    <w:rsid w:val="5ECF20CC"/>
    <w:rsid w:val="5EDA252D"/>
    <w:rsid w:val="5FD43C94"/>
    <w:rsid w:val="60991209"/>
    <w:rsid w:val="60A36E8F"/>
    <w:rsid w:val="61142352"/>
    <w:rsid w:val="61171AD8"/>
    <w:rsid w:val="61295495"/>
    <w:rsid w:val="61C61E06"/>
    <w:rsid w:val="61E23BBD"/>
    <w:rsid w:val="621A7EB2"/>
    <w:rsid w:val="62324B29"/>
    <w:rsid w:val="62782477"/>
    <w:rsid w:val="62A350C7"/>
    <w:rsid w:val="62BC2021"/>
    <w:rsid w:val="630B0204"/>
    <w:rsid w:val="63731937"/>
    <w:rsid w:val="63A05326"/>
    <w:rsid w:val="63B36E9D"/>
    <w:rsid w:val="64155A96"/>
    <w:rsid w:val="64A33809"/>
    <w:rsid w:val="64AB7435"/>
    <w:rsid w:val="657B644F"/>
    <w:rsid w:val="65923EB0"/>
    <w:rsid w:val="66143184"/>
    <w:rsid w:val="66C6731A"/>
    <w:rsid w:val="66D879EA"/>
    <w:rsid w:val="66D97856"/>
    <w:rsid w:val="68E33322"/>
    <w:rsid w:val="68EE76DE"/>
    <w:rsid w:val="68EF4BB6"/>
    <w:rsid w:val="69480AC8"/>
    <w:rsid w:val="695567DF"/>
    <w:rsid w:val="6B441808"/>
    <w:rsid w:val="6BCA6F17"/>
    <w:rsid w:val="6BCE6976"/>
    <w:rsid w:val="6C106214"/>
    <w:rsid w:val="6CC63F02"/>
    <w:rsid w:val="6D754EDC"/>
    <w:rsid w:val="6E0D1512"/>
    <w:rsid w:val="6E7150B9"/>
    <w:rsid w:val="6F525DFE"/>
    <w:rsid w:val="6F5E6145"/>
    <w:rsid w:val="6FEC1662"/>
    <w:rsid w:val="703F10DC"/>
    <w:rsid w:val="707A7B96"/>
    <w:rsid w:val="70B51F79"/>
    <w:rsid w:val="71085EF5"/>
    <w:rsid w:val="72232150"/>
    <w:rsid w:val="72473C14"/>
    <w:rsid w:val="727C6062"/>
    <w:rsid w:val="7499513D"/>
    <w:rsid w:val="74D02F90"/>
    <w:rsid w:val="754819F8"/>
    <w:rsid w:val="75D57B29"/>
    <w:rsid w:val="76037E52"/>
    <w:rsid w:val="773A43A6"/>
    <w:rsid w:val="773B73B3"/>
    <w:rsid w:val="77415E37"/>
    <w:rsid w:val="775904DE"/>
    <w:rsid w:val="787D153B"/>
    <w:rsid w:val="78B35E34"/>
    <w:rsid w:val="7A514939"/>
    <w:rsid w:val="7AAB3D4E"/>
    <w:rsid w:val="7B4D0FEC"/>
    <w:rsid w:val="7BBB6619"/>
    <w:rsid w:val="7C2A7D87"/>
    <w:rsid w:val="7C8849EA"/>
    <w:rsid w:val="7D214757"/>
    <w:rsid w:val="7D5A1439"/>
    <w:rsid w:val="7D5F7F94"/>
    <w:rsid w:val="7E0405CD"/>
    <w:rsid w:val="7E346B9D"/>
    <w:rsid w:val="7E53034C"/>
    <w:rsid w:val="7E541651"/>
    <w:rsid w:val="7E5F1BE0"/>
    <w:rsid w:val="7EA7798A"/>
    <w:rsid w:val="7ECF0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qFormat="1"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4"/>
    <w:qFormat/>
    <w:uiPriority w:val="99"/>
    <w:pPr>
      <w:keepNext/>
      <w:keepLines/>
      <w:spacing w:before="260" w:after="260" w:line="416" w:lineRule="auto"/>
      <w:outlineLvl w:val="1"/>
    </w:pPr>
    <w:rPr>
      <w:rFonts w:ascii="Calibri Light" w:hAnsi="Calibri Light" w:cs="Times New Roman"/>
      <w:b/>
      <w:bCs/>
      <w:kern w:val="0"/>
      <w:sz w:val="32"/>
      <w:szCs w:val="32"/>
    </w:rPr>
  </w:style>
  <w:style w:type="paragraph" w:styleId="5">
    <w:name w:val="heading 3"/>
    <w:basedOn w:val="1"/>
    <w:next w:val="1"/>
    <w:qFormat/>
    <w:uiPriority w:val="0"/>
    <w:pPr>
      <w:keepNext/>
      <w:keepLines/>
      <w:numPr>
        <w:ilvl w:val="2"/>
        <w:numId w:val="1"/>
      </w:numPr>
      <w:spacing w:line="360" w:lineRule="auto"/>
      <w:outlineLvl w:val="2"/>
    </w:pPr>
    <w:rPr>
      <w:rFonts w:ascii="Arial" w:hAnsi="Arial"/>
      <w:bCs/>
      <w:sz w:val="28"/>
      <w:szCs w:val="32"/>
    </w:rPr>
  </w:style>
  <w:style w:type="character" w:default="1" w:styleId="12">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4">
    <w:name w:val="Normal Indent"/>
    <w:basedOn w:val="1"/>
    <w:qFormat/>
    <w:uiPriority w:val="0"/>
    <w:pPr>
      <w:adjustRightInd w:val="0"/>
      <w:snapToGrid w:val="0"/>
      <w:spacing w:line="300" w:lineRule="auto"/>
      <w:jc w:val="center"/>
    </w:pPr>
    <w:rPr>
      <w:rFonts w:hint="eastAsia" w:ascii="仿宋" w:hAnsi="仿宋" w:eastAsia="仿宋" w:cs="Times New Roman"/>
      <w:b/>
      <w:sz w:val="28"/>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Table Simple 1"/>
    <w:basedOn w:val="9"/>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character" w:styleId="13">
    <w:name w:val="Strong"/>
    <w:basedOn w:val="12"/>
    <w:qFormat/>
    <w:uiPriority w:val="0"/>
    <w:rPr>
      <w:b/>
    </w:rPr>
  </w:style>
  <w:style w:type="paragraph" w:customStyle="1" w:styleId="14">
    <w:name w:val="正文1"/>
    <w:basedOn w:val="1"/>
    <w:qFormat/>
    <w:uiPriority w:val="0"/>
    <w:pPr>
      <w:spacing w:line="480" w:lineRule="exact"/>
      <w:ind w:firstLine="200" w:firstLineChars="200"/>
    </w:pPr>
    <w:rPr>
      <w:kern w:val="0"/>
      <w:sz w:val="28"/>
    </w:rPr>
  </w:style>
  <w:style w:type="paragraph" w:customStyle="1" w:styleId="15">
    <w:name w:val="图表样式"/>
    <w:basedOn w:val="16"/>
    <w:qFormat/>
    <w:uiPriority w:val="0"/>
    <w:pPr>
      <w:spacing w:line="480" w:lineRule="exact"/>
    </w:pPr>
    <w:rPr>
      <w:rFonts w:ascii="Times New Roman" w:cs="宋体"/>
      <w:szCs w:val="20"/>
    </w:rPr>
  </w:style>
  <w:style w:type="paragraph" w:customStyle="1" w:styleId="16">
    <w:name w:val="图表"/>
    <w:basedOn w:val="1"/>
    <w:qFormat/>
    <w:uiPriority w:val="0"/>
    <w:pPr>
      <w:jc w:val="center"/>
    </w:pPr>
    <w:rPr>
      <w:rFonts w:ascii="Arial" w:hAnsi="Arial" w:eastAsia="黑体"/>
      <w:sz w:val="28"/>
      <w:szCs w:val="28"/>
    </w:rPr>
  </w:style>
  <w:style w:type="paragraph" w:styleId="17">
    <w:name w:val="List Paragraph"/>
    <w:basedOn w:val="1"/>
    <w:qFormat/>
    <w:uiPriority w:val="34"/>
    <w:pPr>
      <w:ind w:firstLine="420" w:firstLineChars="200"/>
    </w:pPr>
  </w:style>
  <w:style w:type="paragraph" w:customStyle="1" w:styleId="18">
    <w:name w:val="标准文件_标准正文"/>
    <w:basedOn w:val="1"/>
    <w:next w:val="19"/>
    <w:qFormat/>
    <w:uiPriority w:val="0"/>
    <w:pPr>
      <w:snapToGrid w:val="0"/>
      <w:jc w:val="center"/>
    </w:pPr>
    <w:rPr>
      <w:kern w:val="0"/>
      <w:szCs w:val="21"/>
    </w:rPr>
  </w:style>
  <w:style w:type="paragraph" w:customStyle="1" w:styleId="19">
    <w:name w:val="标准文件_段"/>
    <w:basedOn w:val="1"/>
    <w:qFormat/>
    <w:uiPriority w:val="0"/>
    <w:pPr>
      <w:autoSpaceDE w:val="0"/>
      <w:autoSpaceDN w:val="0"/>
      <w:snapToGrid w:val="0"/>
      <w:spacing w:line="360" w:lineRule="auto"/>
      <w:ind w:firstLine="420" w:firstLineChars="200"/>
      <w:jc w:val="left"/>
    </w:pPr>
    <w:rPr>
      <w:color w:val="FF0000"/>
    </w:rPr>
  </w:style>
  <w:style w:type="paragraph" w:customStyle="1" w:styleId="20">
    <w:name w:val="二级条标题"/>
    <w:basedOn w:val="21"/>
    <w:next w:val="1"/>
    <w:qFormat/>
    <w:uiPriority w:val="0"/>
    <w:pPr>
      <w:ind w:left="180"/>
      <w:outlineLvl w:val="3"/>
    </w:pPr>
  </w:style>
  <w:style w:type="paragraph" w:customStyle="1" w:styleId="21">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22">
    <w:name w:val="标准文件_一级条标题"/>
    <w:basedOn w:val="23"/>
    <w:next w:val="19"/>
    <w:qFormat/>
    <w:uiPriority w:val="0"/>
    <w:pPr>
      <w:spacing w:before="50" w:beforeLines="50" w:after="50" w:afterLines="50"/>
      <w:outlineLvl w:val="1"/>
    </w:pPr>
  </w:style>
  <w:style w:type="paragraph" w:customStyle="1" w:styleId="23">
    <w:name w:val="标准文件_章标题"/>
    <w:next w:val="19"/>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4">
    <w:name w:val="标准文件_二级条标题"/>
    <w:next w:val="19"/>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5">
    <w:name w:val="书目1"/>
    <w:basedOn w:val="1"/>
    <w:next w:val="1"/>
    <w:unhideWhenUsed/>
    <w:qFormat/>
    <w:uiPriority w:val="37"/>
    <w:pPr>
      <w:tabs>
        <w:tab w:val="left" w:pos="504"/>
      </w:tabs>
      <w:ind w:left="504" w:hanging="504"/>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8f9a65d-279a-4418-87b9-7d23e4574437}"/>
        <w:style w:val=""/>
        <w:category>
          <w:name w:val="常规"/>
          <w:gallery w:val="placeholder"/>
        </w:category>
        <w:types>
          <w:type w:val="bbPlcHdr"/>
        </w:types>
        <w:behaviors>
          <w:behavior w:val="content"/>
        </w:behaviors>
        <w:description w:val=""/>
        <w:guid w:val="{58f9a65d-279a-4418-87b9-7d23e4574437}"/>
      </w:docPartPr>
      <w:docPartBody>
        <w:p>
          <w:pPr>
            <w:pStyle w:val="2"/>
            <w:rPr>
              <w:rFonts w:hint="eastAsia"/>
            </w:rPr>
          </w:pPr>
          <w:r>
            <w:rPr>
              <w:rStyle w:val="3"/>
              <w:rFonts w:hint="eastAsia"/>
            </w:rPr>
            <w:t>单击或点击此处输入文字。</w:t>
          </w:r>
        </w:p>
      </w:docPartBody>
    </w:docPart>
    <w:docPart>
      <w:docPartPr>
        <w:name w:val="{854858ba-f76e-479e-b9c6-c9efc2278b40}"/>
        <w:style w:val=""/>
        <w:category>
          <w:name w:val="常规"/>
          <w:gallery w:val="placeholder"/>
        </w:category>
        <w:types>
          <w:type w:val="bbPlcHdr"/>
        </w:types>
        <w:behaviors>
          <w:behavior w:val="content"/>
        </w:behaviors>
        <w:description w:val=""/>
        <w:guid w:val="{854858ba-f76e-479e-b9c6-c9efc2278b40}"/>
      </w:docPartPr>
      <w:docPartBody>
        <w:p>
          <w:pPr>
            <w:pStyle w:val="2"/>
            <w:rPr>
              <w:rFonts w:hint="eastAsia"/>
            </w:rPr>
          </w:pPr>
          <w:r>
            <w:rPr>
              <w:rStyle w:val="3"/>
              <w:rFonts w:hint="eastAsia"/>
            </w:rPr>
            <w:t>单击或点击此处输入文字。</w:t>
          </w:r>
        </w:p>
      </w:docPartBody>
    </w:docPart>
    <w:docPart>
      <w:docPartPr>
        <w:name w:val="{798efecd-1bed-40af-8e6a-a34434ea37eb}"/>
        <w:style w:val=""/>
        <w:category>
          <w:name w:val="常规"/>
          <w:gallery w:val="placeholder"/>
        </w:category>
        <w:types>
          <w:type w:val="bbPlcHdr"/>
        </w:types>
        <w:behaviors>
          <w:behavior w:val="content"/>
        </w:behaviors>
        <w:description w:val=""/>
        <w:guid w:val="{798efecd-1bed-40af-8e6a-a34434ea37eb}"/>
      </w:docPartPr>
      <w:docPartBody>
        <w:p>
          <w:pPr>
            <w:pStyle w:val="2"/>
            <w:rPr>
              <w:rFonts w:hint="eastAsia"/>
            </w:rPr>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5BC533A48C4945CABE49ADC834B815E0"/>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2026-01-09T22:37:00Z</dcterms:created>
  <dc:creator>蓝星</dc:creator>
  <cp:lastModifiedBy>蓝星</cp:lastModifiedBy>
  <dcterms:modified xsi:type="dcterms:W3CDTF">2026-06-29T02:50:11Z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AD413798F0664591BB8F42033AEB41AD</vt:lpwstr>
  </property>
</Properties>
</file>